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CE" w:rsidRDefault="00B418CE" w:rsidP="001B0687">
      <w:pPr>
        <w:pStyle w:val="En-tte"/>
        <w:bidi/>
        <w:rPr>
          <w:rFonts w:ascii="Traditional Arabic" w:hAnsi="Traditional Arabic" w:cs="Traditional Arabic"/>
          <w:b/>
          <w:bCs/>
          <w:sz w:val="28"/>
          <w:szCs w:val="28"/>
          <w:lang w:bidi="ar-DZ"/>
        </w:rPr>
      </w:pPr>
    </w:p>
    <w:p w:rsidR="00AB671D" w:rsidRDefault="00AB671D" w:rsidP="00AB671D">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745183" w:rsidP="00B418CE">
      <w:pPr>
        <w:pStyle w:val="En-tte"/>
        <w:bidi/>
        <w:rPr>
          <w:rFonts w:ascii="Traditional Arabic" w:hAnsi="Traditional Arabic" w:cs="Traditional Arabic"/>
          <w:b/>
          <w:bCs/>
          <w:sz w:val="28"/>
          <w:szCs w:val="28"/>
          <w:lang w:bidi="ar-DZ"/>
        </w:rPr>
      </w:pPr>
      <w:r w:rsidRPr="00745183">
        <w:rPr>
          <w:rFonts w:asciiTheme="majorBidi" w:hAnsiTheme="majorBidi" w:cstheme="majorBidi"/>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8.7pt;height:122.95pt" fillcolor="black" strokeweight="1pt">
            <v:fill opacity=".5"/>
            <v:shadow on="t" color="#99f" offset="3pt"/>
            <v:textpath style="font-family:&quot;Arial Black&quot;;font-size:44pt;v-text-kern:t" trim="t" fitpath="t" string="الفصل الخامس &#10;انعكاسات الأزمة المالية العالمية على الدول النامية &#10;"/>
          </v:shape>
        </w:pict>
      </w: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B418CE" w:rsidRDefault="00B418CE" w:rsidP="00B418CE">
      <w:pPr>
        <w:pStyle w:val="En-tte"/>
        <w:bidi/>
        <w:rPr>
          <w:rFonts w:ascii="Traditional Arabic" w:hAnsi="Traditional Arabic" w:cs="Traditional Arabic"/>
          <w:b/>
          <w:bCs/>
          <w:sz w:val="28"/>
          <w:szCs w:val="28"/>
          <w:lang w:bidi="ar-DZ"/>
        </w:rPr>
      </w:pPr>
    </w:p>
    <w:p w:rsidR="00911C4E" w:rsidRPr="00367A51" w:rsidRDefault="00911C4E" w:rsidP="00911C4E">
      <w:pPr>
        <w:bidi/>
        <w:spacing w:after="0"/>
        <w:jc w:val="both"/>
        <w:rPr>
          <w:rFonts w:ascii="Traditional Arabic" w:hAnsi="Traditional Arabic" w:cs="Traditional Arabic"/>
          <w:b/>
          <w:bCs/>
          <w:sz w:val="32"/>
          <w:szCs w:val="32"/>
          <w:lang w:bidi="ar-DZ"/>
        </w:rPr>
        <w:sectPr w:rsidR="00911C4E" w:rsidRPr="00367A51" w:rsidSect="00574DF1">
          <w:footerReference w:type="default" r:id="rId8"/>
          <w:pgSz w:w="11906" w:h="16838"/>
          <w:pgMar w:top="1417" w:right="1417" w:bottom="1417" w:left="1417" w:header="708" w:footer="708" w:gutter="0"/>
          <w:pgNumType w:fmt="upperRoman"/>
          <w:cols w:space="708"/>
          <w:docGrid w:linePitch="360"/>
        </w:sectPr>
      </w:pPr>
      <w:r>
        <w:rPr>
          <w:rFonts w:ascii="Traditional Arabic" w:hAnsi="Traditional Arabic" w:cs="Traditional Arabic" w:hint="cs"/>
          <w:b/>
          <w:bCs/>
          <w:sz w:val="32"/>
          <w:szCs w:val="32"/>
          <w:rtl/>
          <w:lang w:bidi="ar-DZ"/>
        </w:rPr>
        <w:t xml:space="preserve"> </w:t>
      </w:r>
    </w:p>
    <w:p w:rsidR="00ED05AC" w:rsidRPr="004F053C" w:rsidRDefault="00B160CF" w:rsidP="005F3C0A">
      <w:pPr>
        <w:bidi/>
        <w:spacing w:line="360" w:lineRule="auto"/>
        <w:ind w:left="567"/>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تمهيد</w:t>
      </w:r>
      <w:r w:rsidR="00ED05AC" w:rsidRPr="004F053C">
        <w:rPr>
          <w:rFonts w:ascii="Traditional Arabic" w:hAnsi="Traditional Arabic" w:cs="Traditional Arabic"/>
          <w:b/>
          <w:bCs/>
          <w:sz w:val="32"/>
          <w:szCs w:val="32"/>
          <w:rtl/>
          <w:lang w:bidi="ar-DZ"/>
        </w:rPr>
        <w:t xml:space="preserve">: </w:t>
      </w:r>
      <w:r>
        <w:rPr>
          <w:rFonts w:ascii="Traditional Arabic" w:hAnsi="Traditional Arabic" w:cs="Traditional Arabic" w:hint="cs"/>
          <w:b/>
          <w:bCs/>
          <w:sz w:val="32"/>
          <w:szCs w:val="32"/>
          <w:rtl/>
          <w:lang w:bidi="ar-DZ"/>
        </w:rPr>
        <w:t xml:space="preserve">  </w:t>
      </w:r>
    </w:p>
    <w:p w:rsidR="002476D9" w:rsidRDefault="002476D9" w:rsidP="002476D9">
      <w:pPr>
        <w:tabs>
          <w:tab w:val="right" w:pos="567"/>
          <w:tab w:val="right" w:pos="1134"/>
          <w:tab w:val="right" w:pos="8505"/>
        </w:tabs>
        <w:bidi/>
        <w:ind w:left="567" w:right="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Pr="004F053C">
        <w:rPr>
          <w:rFonts w:ascii="Traditional Arabic" w:hAnsi="Traditional Arabic" w:cs="Traditional Arabic" w:hint="cs"/>
          <w:sz w:val="32"/>
          <w:szCs w:val="32"/>
          <w:rtl/>
          <w:lang w:bidi="ar-DZ"/>
        </w:rPr>
        <w:t xml:space="preserve"> لقد رأينا من خلال الفصل الرابع أن الأزمات المالية أصبحت ظاهرة متكررة. فالأزمة المالية العالمية، والذي كان للتوريق الدور الرئيسي في انتقال عدواها، وما ترتب عنها من ركود الاقتصاد العالمي ونقص السيولة، كان لها انعكاسات مباشرة وغير مباشرة على اقتصاديات العالم المختلفة</w:t>
      </w:r>
      <w:r>
        <w:rPr>
          <w:rFonts w:ascii="Traditional Arabic" w:hAnsi="Traditional Arabic" w:cs="Traditional Arabic" w:hint="cs"/>
          <w:sz w:val="32"/>
          <w:szCs w:val="32"/>
          <w:rtl/>
          <w:lang w:bidi="ar-DZ"/>
        </w:rPr>
        <w:t>،</w:t>
      </w:r>
      <w:r w:rsidRPr="004F053C">
        <w:rPr>
          <w:rFonts w:ascii="Traditional Arabic" w:hAnsi="Traditional Arabic" w:cs="Traditional Arabic" w:hint="cs"/>
          <w:sz w:val="32"/>
          <w:szCs w:val="32"/>
          <w:rtl/>
          <w:lang w:bidi="ar-DZ"/>
        </w:rPr>
        <w:t xml:space="preserve"> تفاوتت حدتها من بلد </w:t>
      </w:r>
      <w:r>
        <w:rPr>
          <w:rFonts w:ascii="Traditional Arabic" w:hAnsi="Traditional Arabic" w:cs="Traditional Arabic" w:hint="cs"/>
          <w:sz w:val="32"/>
          <w:szCs w:val="32"/>
          <w:rtl/>
          <w:lang w:bidi="ar-DZ"/>
        </w:rPr>
        <w:t xml:space="preserve">إلى </w:t>
      </w:r>
      <w:r w:rsidRPr="004F053C">
        <w:rPr>
          <w:rFonts w:ascii="Traditional Arabic" w:hAnsi="Traditional Arabic" w:cs="Traditional Arabic" w:hint="cs"/>
          <w:sz w:val="32"/>
          <w:szCs w:val="32"/>
          <w:rtl/>
          <w:lang w:bidi="ar-DZ"/>
        </w:rPr>
        <w:t>آخر، وهذا تبعا لطبيعة الروابط التي تقوم</w:t>
      </w:r>
      <w:r>
        <w:rPr>
          <w:rFonts w:ascii="Traditional Arabic" w:hAnsi="Traditional Arabic" w:cs="Traditional Arabic" w:hint="cs"/>
          <w:sz w:val="32"/>
          <w:szCs w:val="32"/>
          <w:rtl/>
          <w:lang w:bidi="ar-DZ"/>
        </w:rPr>
        <w:t xml:space="preserve"> ما</w:t>
      </w:r>
      <w:r w:rsidRPr="004F053C">
        <w:rPr>
          <w:rFonts w:ascii="Traditional Arabic" w:hAnsi="Traditional Arabic" w:cs="Traditional Arabic" w:hint="cs"/>
          <w:sz w:val="32"/>
          <w:szCs w:val="32"/>
          <w:rtl/>
          <w:lang w:bidi="ar-DZ"/>
        </w:rPr>
        <w:t xml:space="preserve"> بين الولايات المتحدة الأمريكية وبقية اقتصاديات العالم.  </w:t>
      </w:r>
      <w:r>
        <w:rPr>
          <w:rFonts w:ascii="Traditional Arabic" w:hAnsi="Traditional Arabic" w:cs="Traditional Arabic" w:hint="cs"/>
          <w:sz w:val="32"/>
          <w:szCs w:val="32"/>
          <w:rtl/>
          <w:lang w:bidi="ar-DZ"/>
        </w:rPr>
        <w:t xml:space="preserve">   </w:t>
      </w:r>
    </w:p>
    <w:p w:rsidR="002476D9" w:rsidRPr="00C30094" w:rsidRDefault="002476D9" w:rsidP="002476D9">
      <w:pPr>
        <w:tabs>
          <w:tab w:val="right" w:pos="567"/>
          <w:tab w:val="right" w:pos="651"/>
          <w:tab w:val="right" w:pos="1134"/>
          <w:tab w:val="right" w:pos="8505"/>
        </w:tabs>
        <w:bidi/>
        <w:ind w:left="567" w:right="567"/>
        <w:jc w:val="both"/>
        <w:rPr>
          <w:rFonts w:ascii="Traditional Arabic" w:hAnsi="Traditional Arabic" w:cs="Traditional Arabic"/>
          <w:sz w:val="32"/>
          <w:szCs w:val="32"/>
          <w:rtl/>
          <w:lang w:bidi="ar-DZ"/>
        </w:rPr>
      </w:pPr>
      <w:r w:rsidRPr="00FD00D9">
        <w:rPr>
          <w:rFonts w:ascii="Traditional Arabic" w:hAnsi="Traditional Arabic" w:cs="Traditional Arabic" w:hint="cs"/>
          <w:sz w:val="32"/>
          <w:szCs w:val="32"/>
          <w:rtl/>
          <w:lang w:bidi="ar-DZ"/>
        </w:rPr>
        <w:t xml:space="preserve"> </w:t>
      </w:r>
      <w:r w:rsidRPr="00FD00D9">
        <w:rPr>
          <w:rFonts w:ascii="Traditional Arabic" w:eastAsia="Times New Roman" w:hAnsi="Traditional Arabic" w:cs="Traditional Arabic"/>
          <w:noProof/>
          <w:sz w:val="32"/>
          <w:szCs w:val="32"/>
          <w:rtl/>
          <w:lang w:bidi="ar-DZ"/>
        </w:rPr>
        <w:t xml:space="preserve"> </w:t>
      </w:r>
      <w:r w:rsidRPr="00FD00D9">
        <w:rPr>
          <w:rFonts w:ascii="Traditional Arabic" w:eastAsia="Times New Roman" w:hAnsi="Traditional Arabic" w:cs="Traditional Arabic" w:hint="cs"/>
          <w:noProof/>
          <w:sz w:val="32"/>
          <w:szCs w:val="32"/>
          <w:rtl/>
          <w:lang w:bidi="ar-DZ"/>
        </w:rPr>
        <w:t xml:space="preserve">     و</w:t>
      </w:r>
      <w:r>
        <w:rPr>
          <w:rFonts w:ascii="Traditional Arabic" w:eastAsia="Times New Roman" w:hAnsi="Traditional Arabic" w:cs="Traditional Arabic"/>
          <w:noProof/>
          <w:sz w:val="32"/>
          <w:szCs w:val="32"/>
          <w:rtl/>
          <w:lang w:bidi="ar-DZ"/>
        </w:rPr>
        <w:t>قد</w:t>
      </w:r>
      <w:r>
        <w:rPr>
          <w:rFonts w:ascii="Traditional Arabic" w:eastAsia="Times New Roman" w:hAnsi="Traditional Arabic" w:cs="Traditional Arabic" w:hint="cs"/>
          <w:noProof/>
          <w:sz w:val="32"/>
          <w:szCs w:val="32"/>
          <w:rtl/>
          <w:lang w:bidi="ar-DZ"/>
        </w:rPr>
        <w:t xml:space="preserve"> </w:t>
      </w:r>
      <w:r w:rsidRPr="00FD00D9">
        <w:rPr>
          <w:rFonts w:ascii="Traditional Arabic" w:eastAsia="Times New Roman" w:hAnsi="Traditional Arabic" w:cs="Traditional Arabic"/>
          <w:noProof/>
          <w:sz w:val="32"/>
          <w:szCs w:val="32"/>
          <w:rtl/>
          <w:lang w:bidi="ar-DZ"/>
        </w:rPr>
        <w:t>تأثر</w:t>
      </w:r>
      <w:r>
        <w:rPr>
          <w:rFonts w:ascii="Traditional Arabic" w:eastAsia="Times New Roman" w:hAnsi="Traditional Arabic" w:cs="Traditional Arabic" w:hint="cs"/>
          <w:noProof/>
          <w:sz w:val="32"/>
          <w:szCs w:val="32"/>
          <w:rtl/>
          <w:lang w:bidi="ar-DZ"/>
        </w:rPr>
        <w:t>ت</w:t>
      </w:r>
      <w:r w:rsidRPr="00FD00D9">
        <w:rPr>
          <w:rFonts w:ascii="Traditional Arabic" w:eastAsia="Times New Roman" w:hAnsi="Traditional Arabic" w:cs="Traditional Arabic"/>
          <w:noProof/>
          <w:sz w:val="32"/>
          <w:szCs w:val="32"/>
          <w:rtl/>
          <w:lang w:bidi="ar-DZ"/>
        </w:rPr>
        <w:t xml:space="preserve"> الدول </w:t>
      </w:r>
      <w:r w:rsidRPr="00FD00D9">
        <w:rPr>
          <w:rFonts w:ascii="Traditional Arabic" w:eastAsia="Times New Roman" w:hAnsi="Traditional Arabic" w:cs="Traditional Arabic" w:hint="cs"/>
          <w:noProof/>
          <w:sz w:val="32"/>
          <w:szCs w:val="32"/>
          <w:rtl/>
          <w:lang w:bidi="ar-DZ"/>
        </w:rPr>
        <w:t>النامية</w:t>
      </w:r>
      <w:r w:rsidRPr="00FD00D9">
        <w:rPr>
          <w:rFonts w:ascii="Traditional Arabic" w:eastAsia="Times New Roman" w:hAnsi="Traditional Arabic" w:cs="Traditional Arabic"/>
          <w:noProof/>
          <w:sz w:val="32"/>
          <w:szCs w:val="32"/>
          <w:rtl/>
          <w:lang w:bidi="ar-DZ"/>
        </w:rPr>
        <w:t xml:space="preserve"> </w:t>
      </w:r>
      <w:r>
        <w:rPr>
          <w:rFonts w:ascii="Traditional Arabic" w:eastAsia="Times New Roman" w:hAnsi="Traditional Arabic" w:cs="Traditional Arabic" w:hint="cs"/>
          <w:noProof/>
          <w:sz w:val="32"/>
          <w:szCs w:val="32"/>
          <w:rtl/>
          <w:lang w:bidi="ar-DZ"/>
        </w:rPr>
        <w:t xml:space="preserve">بالأزمة المالية العالمية </w:t>
      </w:r>
      <w:r w:rsidRPr="00FD00D9">
        <w:rPr>
          <w:rFonts w:ascii="Traditional Arabic" w:eastAsia="Times New Roman" w:hAnsi="Traditional Arabic" w:cs="Traditional Arabic"/>
          <w:noProof/>
          <w:sz w:val="32"/>
          <w:szCs w:val="32"/>
          <w:rtl/>
          <w:lang w:bidi="ar-DZ"/>
        </w:rPr>
        <w:t>بصف</w:t>
      </w:r>
      <w:r w:rsidRPr="00FD00D9">
        <w:rPr>
          <w:rFonts w:ascii="Traditional Arabic" w:eastAsia="Times New Roman" w:hAnsi="Traditional Arabic" w:cs="Traditional Arabic" w:hint="cs"/>
          <w:noProof/>
          <w:sz w:val="32"/>
          <w:szCs w:val="32"/>
          <w:rtl/>
          <w:lang w:bidi="ar-DZ"/>
        </w:rPr>
        <w:t>ت</w:t>
      </w:r>
      <w:r w:rsidRPr="00FD00D9">
        <w:rPr>
          <w:rFonts w:ascii="Traditional Arabic" w:eastAsia="Times New Roman" w:hAnsi="Traditional Arabic" w:cs="Traditional Arabic"/>
          <w:noProof/>
          <w:sz w:val="32"/>
          <w:szCs w:val="32"/>
          <w:rtl/>
          <w:lang w:bidi="ar-DZ"/>
        </w:rPr>
        <w:t>ها جزءا من</w:t>
      </w:r>
      <w:r>
        <w:rPr>
          <w:rFonts w:ascii="Traditional Arabic" w:eastAsia="Times New Roman" w:hAnsi="Traditional Arabic" w:cs="Traditional Arabic"/>
          <w:noProof/>
          <w:sz w:val="32"/>
          <w:szCs w:val="32"/>
          <w:rtl/>
          <w:lang w:bidi="ar-DZ"/>
        </w:rPr>
        <w:t xml:space="preserve"> المنظومة الاقتصادية العالمية</w:t>
      </w:r>
      <w:r>
        <w:rPr>
          <w:rFonts w:ascii="Traditional Arabic" w:eastAsia="Times New Roman" w:hAnsi="Traditional Arabic" w:cs="Traditional Arabic" w:hint="cs"/>
          <w:noProof/>
          <w:sz w:val="32"/>
          <w:szCs w:val="32"/>
          <w:rtl/>
          <w:lang w:bidi="ar-DZ"/>
        </w:rPr>
        <w:t>،</w:t>
      </w:r>
      <w:r>
        <w:rPr>
          <w:rFonts w:ascii="Traditional Arabic" w:eastAsia="Times New Roman" w:hAnsi="Traditional Arabic" w:cs="Traditional Arabic"/>
          <w:noProof/>
          <w:sz w:val="32"/>
          <w:szCs w:val="32"/>
          <w:rtl/>
          <w:lang w:bidi="ar-DZ"/>
        </w:rPr>
        <w:t xml:space="preserve"> و</w:t>
      </w:r>
      <w:r w:rsidRPr="00FD00D9">
        <w:rPr>
          <w:rFonts w:ascii="Traditional Arabic" w:eastAsia="Times New Roman" w:hAnsi="Traditional Arabic" w:cs="Traditional Arabic"/>
          <w:noProof/>
          <w:sz w:val="32"/>
          <w:szCs w:val="32"/>
          <w:rtl/>
          <w:lang w:bidi="ar-DZ"/>
        </w:rPr>
        <w:t>خاصة في ظل الت</w:t>
      </w:r>
      <w:r>
        <w:rPr>
          <w:rFonts w:ascii="Traditional Arabic" w:eastAsia="Times New Roman" w:hAnsi="Traditional Arabic" w:cs="Traditional Arabic"/>
          <w:noProof/>
          <w:sz w:val="32"/>
          <w:szCs w:val="32"/>
          <w:rtl/>
          <w:lang w:bidi="ar-DZ"/>
        </w:rPr>
        <w:t>كامل المالي الدولي</w:t>
      </w:r>
      <w:r w:rsidRPr="00FD00D9">
        <w:rPr>
          <w:rFonts w:ascii="Traditional Arabic" w:eastAsia="Times New Roman" w:hAnsi="Traditional Arabic" w:cs="Traditional Arabic"/>
          <w:noProof/>
          <w:sz w:val="32"/>
          <w:szCs w:val="32"/>
          <w:rtl/>
          <w:lang w:bidi="ar-DZ"/>
        </w:rPr>
        <w:t xml:space="preserve">، </w:t>
      </w:r>
      <w:r>
        <w:rPr>
          <w:rFonts w:ascii="Traditional Arabic" w:eastAsia="Times New Roman" w:hAnsi="Traditional Arabic" w:cs="Traditional Arabic" w:hint="cs"/>
          <w:noProof/>
          <w:sz w:val="32"/>
          <w:szCs w:val="32"/>
          <w:rtl/>
          <w:lang w:bidi="ar-DZ"/>
        </w:rPr>
        <w:t>وبدوره</w:t>
      </w:r>
      <w:r>
        <w:rPr>
          <w:rFonts w:ascii="Traditional Arabic" w:eastAsia="Times New Roman" w:hAnsi="Traditional Arabic" w:cs="Traditional Arabic"/>
          <w:noProof/>
          <w:sz w:val="32"/>
          <w:szCs w:val="32"/>
          <w:rtl/>
          <w:lang w:bidi="ar-DZ"/>
        </w:rPr>
        <w:t xml:space="preserve"> سهل انتقال </w:t>
      </w:r>
      <w:r>
        <w:rPr>
          <w:rFonts w:ascii="Traditional Arabic" w:eastAsia="Times New Roman" w:hAnsi="Traditional Arabic" w:cs="Traditional Arabic" w:hint="cs"/>
          <w:noProof/>
          <w:sz w:val="32"/>
          <w:szCs w:val="32"/>
          <w:rtl/>
          <w:lang w:bidi="ar-DZ"/>
        </w:rPr>
        <w:t>ال</w:t>
      </w:r>
      <w:r>
        <w:rPr>
          <w:rFonts w:ascii="Traditional Arabic" w:eastAsia="Times New Roman" w:hAnsi="Traditional Arabic" w:cs="Traditional Arabic"/>
          <w:noProof/>
          <w:sz w:val="32"/>
          <w:szCs w:val="32"/>
          <w:rtl/>
          <w:lang w:bidi="ar-DZ"/>
        </w:rPr>
        <w:t xml:space="preserve">عدوى </w:t>
      </w:r>
      <w:r>
        <w:rPr>
          <w:rFonts w:ascii="Traditional Arabic" w:eastAsia="Times New Roman" w:hAnsi="Traditional Arabic" w:cs="Traditional Arabic" w:hint="cs"/>
          <w:noProof/>
          <w:sz w:val="32"/>
          <w:szCs w:val="32"/>
          <w:rtl/>
          <w:lang w:bidi="ar-DZ"/>
        </w:rPr>
        <w:t>إليها</w:t>
      </w:r>
      <w:r w:rsidRPr="00FD00D9">
        <w:rPr>
          <w:rFonts w:ascii="Traditional Arabic" w:eastAsia="Times New Roman" w:hAnsi="Traditional Arabic" w:cs="Traditional Arabic"/>
          <w:noProof/>
          <w:sz w:val="32"/>
          <w:szCs w:val="32"/>
          <w:rtl/>
          <w:lang w:bidi="ar-DZ"/>
        </w:rPr>
        <w:t>.</w:t>
      </w:r>
      <w:r>
        <w:rPr>
          <w:rFonts w:ascii="Traditional Arabic" w:eastAsia="Times New Roman" w:hAnsi="Traditional Arabic" w:cs="Traditional Arabic" w:hint="cs"/>
          <w:noProof/>
          <w:sz w:val="32"/>
          <w:szCs w:val="32"/>
          <w:rtl/>
          <w:lang w:bidi="ar-DZ"/>
        </w:rPr>
        <w:t xml:space="preserve">   </w:t>
      </w:r>
      <w:r w:rsidRPr="004F053C">
        <w:rPr>
          <w:rFonts w:ascii="Traditional Arabic" w:hAnsi="Traditional Arabic" w:cs="Traditional Arabic" w:hint="cs"/>
          <w:sz w:val="32"/>
          <w:szCs w:val="32"/>
          <w:rtl/>
          <w:lang w:bidi="ar-DZ"/>
        </w:rPr>
        <w:t xml:space="preserve">  </w:t>
      </w:r>
    </w:p>
    <w:p w:rsidR="002476D9" w:rsidRDefault="002476D9" w:rsidP="002476D9">
      <w:pPr>
        <w:tabs>
          <w:tab w:val="right" w:pos="567"/>
          <w:tab w:val="right" w:pos="8505"/>
        </w:tabs>
        <w:bidi/>
        <w:ind w:left="567" w:right="567"/>
        <w:jc w:val="both"/>
        <w:rPr>
          <w:rFonts w:ascii="Traditional Arabic" w:hAnsi="Traditional Arabic" w:cs="Traditional Arabic"/>
          <w:sz w:val="32"/>
          <w:szCs w:val="32"/>
          <w:rtl/>
          <w:lang w:bidi="ar-DZ"/>
        </w:rPr>
      </w:pPr>
      <w:r w:rsidRPr="004F053C">
        <w:rPr>
          <w:rFonts w:ascii="Traditional Arabic" w:hAnsi="Traditional Arabic" w:cs="Traditional Arabic" w:hint="cs"/>
          <w:sz w:val="32"/>
          <w:szCs w:val="32"/>
          <w:rtl/>
          <w:lang w:bidi="ar-DZ"/>
        </w:rPr>
        <w:t xml:space="preserve">       كما</w:t>
      </w:r>
      <w:r>
        <w:rPr>
          <w:rFonts w:ascii="Traditional Arabic" w:hAnsi="Traditional Arabic" w:cs="Traditional Arabic" w:hint="cs"/>
          <w:sz w:val="32"/>
          <w:szCs w:val="32"/>
          <w:rtl/>
          <w:lang w:bidi="ar-DZ"/>
        </w:rPr>
        <w:t xml:space="preserve"> يعتبر</w:t>
      </w:r>
      <w:r w:rsidRPr="004F053C">
        <w:rPr>
          <w:rFonts w:ascii="Traditional Arabic" w:hAnsi="Traditional Arabic" w:cs="Traditional Arabic" w:hint="cs"/>
          <w:sz w:val="32"/>
          <w:szCs w:val="32"/>
          <w:rtl/>
          <w:lang w:bidi="ar-DZ"/>
        </w:rPr>
        <w:t xml:space="preserve"> صندوق النقد الدولي الجهة المسؤولة عن سلامة النظام النقدي والمالي الدولي، فهو بهذا يتوفر على وسائل تتضمن هذا الاستقرار سواء قبل حدوث الأزمة أو بعد وقوعها، بمعنى أنه هو الذي يتكفل بإدارتها قصد تقليل أكبر ما يمكن من الخسائر وإنقاذ ما يمكن إنقاذه.   </w:t>
      </w:r>
    </w:p>
    <w:p w:rsidR="002476D9" w:rsidRDefault="002476D9" w:rsidP="002476D9">
      <w:pPr>
        <w:tabs>
          <w:tab w:val="right" w:pos="567"/>
          <w:tab w:val="right" w:pos="1134"/>
        </w:tabs>
        <w:bidi/>
        <w:spacing w:after="0"/>
        <w:jc w:val="both"/>
        <w:rPr>
          <w:rFonts w:ascii="Traditional Arabic" w:hAnsi="Traditional Arabic" w:cs="Traditional Arabic"/>
          <w:sz w:val="32"/>
          <w:szCs w:val="32"/>
          <w:rtl/>
          <w:lang w:bidi="ar-DZ"/>
        </w:rPr>
      </w:pPr>
      <w:r w:rsidRPr="005A0BE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5A0BEB">
        <w:rPr>
          <w:rFonts w:ascii="Traditional Arabic" w:hAnsi="Traditional Arabic" w:cs="Traditional Arabic" w:hint="cs"/>
          <w:sz w:val="32"/>
          <w:szCs w:val="32"/>
          <w:rtl/>
          <w:lang w:bidi="ar-DZ"/>
        </w:rPr>
        <w:t xml:space="preserve">  وعلى هذا الأساس سنقوم بتقسيم الفصل إلى خمسة مباحث على النحو التالي:     </w:t>
      </w:r>
    </w:p>
    <w:p w:rsidR="002476D9" w:rsidRPr="0007750E" w:rsidRDefault="002476D9" w:rsidP="002476D9">
      <w:pPr>
        <w:bidi/>
        <w:spacing w:after="0"/>
        <w:ind w:left="567"/>
        <w:rPr>
          <w:rFonts w:ascii="Traditional Arabic" w:eastAsia="Times New Roman" w:hAnsi="Traditional Arabic" w:cs="Traditional Arabic"/>
          <w:color w:val="000000"/>
          <w:sz w:val="32"/>
          <w:szCs w:val="32"/>
        </w:rPr>
      </w:pPr>
      <w:r w:rsidRPr="0007750E">
        <w:rPr>
          <w:rFonts w:ascii="Traditional Arabic" w:eastAsia="Times New Roman" w:hAnsi="Traditional Arabic" w:cs="Traditional Arabic"/>
          <w:color w:val="000000"/>
          <w:sz w:val="32"/>
          <w:szCs w:val="32"/>
          <w:rtl/>
        </w:rPr>
        <w:t>المبحث الأول: آلية انتقال العدوى على الصعيد الدولي</w:t>
      </w:r>
      <w:r>
        <w:rPr>
          <w:rFonts w:ascii="Traditional Arabic" w:eastAsia="Times New Roman" w:hAnsi="Traditional Arabic" w:cs="Traditional Arabic" w:hint="cs"/>
          <w:color w:val="000000"/>
          <w:sz w:val="32"/>
          <w:szCs w:val="32"/>
          <w:rtl/>
        </w:rPr>
        <w:t>؛</w:t>
      </w:r>
      <w:r w:rsidRPr="0007750E">
        <w:rPr>
          <w:rFonts w:ascii="Traditional Arabic" w:eastAsia="Times New Roman" w:hAnsi="Traditional Arabic" w:cs="Traditional Arabic"/>
          <w:color w:val="000000"/>
          <w:sz w:val="32"/>
          <w:szCs w:val="32"/>
          <w:rtl/>
        </w:rPr>
        <w:t xml:space="preserve"> </w:t>
      </w:r>
    </w:p>
    <w:p w:rsidR="002476D9" w:rsidRPr="0007750E" w:rsidRDefault="002476D9" w:rsidP="002476D9">
      <w:pPr>
        <w:bidi/>
        <w:spacing w:after="0"/>
        <w:ind w:left="567"/>
        <w:rPr>
          <w:rFonts w:ascii="Traditional Arabic" w:eastAsia="Times New Roman" w:hAnsi="Traditional Arabic" w:cs="Traditional Arabic"/>
          <w:color w:val="000000"/>
          <w:sz w:val="32"/>
          <w:szCs w:val="32"/>
        </w:rPr>
      </w:pPr>
      <w:r w:rsidRPr="0007750E">
        <w:rPr>
          <w:rFonts w:ascii="Traditional Arabic" w:eastAsia="Times New Roman" w:hAnsi="Traditional Arabic" w:cs="Traditional Arabic"/>
          <w:color w:val="000000"/>
          <w:sz w:val="32"/>
          <w:szCs w:val="32"/>
          <w:rtl/>
        </w:rPr>
        <w:t>المبحث الثاني: انعكاسات الأزمة المالية العالمية على اقتصاديات دول العالم</w:t>
      </w:r>
      <w:r>
        <w:rPr>
          <w:rFonts w:ascii="Traditional Arabic" w:eastAsia="Times New Roman" w:hAnsi="Traditional Arabic" w:cs="Traditional Arabic" w:hint="cs"/>
          <w:color w:val="000000"/>
          <w:sz w:val="32"/>
          <w:szCs w:val="32"/>
          <w:rtl/>
        </w:rPr>
        <w:t>؛</w:t>
      </w:r>
      <w:r w:rsidRPr="0007750E">
        <w:rPr>
          <w:rFonts w:ascii="Traditional Arabic" w:eastAsia="Times New Roman" w:hAnsi="Traditional Arabic" w:cs="Traditional Arabic"/>
          <w:color w:val="000000"/>
          <w:sz w:val="32"/>
          <w:szCs w:val="32"/>
          <w:rtl/>
        </w:rPr>
        <w:t xml:space="preserve"> </w:t>
      </w:r>
    </w:p>
    <w:p w:rsidR="002476D9" w:rsidRPr="0007750E" w:rsidRDefault="002476D9" w:rsidP="002476D9">
      <w:pPr>
        <w:bidi/>
        <w:spacing w:after="0"/>
        <w:ind w:left="567"/>
        <w:rPr>
          <w:rFonts w:ascii="Traditional Arabic" w:eastAsia="Times New Roman" w:hAnsi="Traditional Arabic" w:cs="Traditional Arabic"/>
          <w:color w:val="000000"/>
          <w:sz w:val="32"/>
          <w:szCs w:val="32"/>
        </w:rPr>
      </w:pPr>
      <w:r w:rsidRPr="0007750E">
        <w:rPr>
          <w:rFonts w:ascii="Traditional Arabic" w:eastAsia="Times New Roman" w:hAnsi="Traditional Arabic" w:cs="Traditional Arabic"/>
          <w:color w:val="000000"/>
          <w:sz w:val="32"/>
          <w:szCs w:val="32"/>
          <w:rtl/>
        </w:rPr>
        <w:t>المبحث الثالث: انعكاسات الأزمة المالية العالمية على الدول العربية</w:t>
      </w:r>
      <w:r>
        <w:rPr>
          <w:rFonts w:ascii="Traditional Arabic" w:eastAsia="Times New Roman" w:hAnsi="Traditional Arabic" w:cs="Traditional Arabic" w:hint="cs"/>
          <w:color w:val="000000"/>
          <w:sz w:val="32"/>
          <w:szCs w:val="32"/>
          <w:rtl/>
        </w:rPr>
        <w:t>؛</w:t>
      </w:r>
      <w:r w:rsidRPr="0007750E">
        <w:rPr>
          <w:rFonts w:ascii="Traditional Arabic" w:eastAsia="Times New Roman" w:hAnsi="Traditional Arabic" w:cs="Traditional Arabic"/>
          <w:color w:val="000000"/>
          <w:sz w:val="32"/>
          <w:szCs w:val="32"/>
          <w:rtl/>
        </w:rPr>
        <w:t xml:space="preserve"> </w:t>
      </w:r>
    </w:p>
    <w:p w:rsidR="002476D9" w:rsidRPr="0007750E" w:rsidRDefault="002476D9" w:rsidP="002476D9">
      <w:pPr>
        <w:bidi/>
        <w:spacing w:after="0"/>
        <w:ind w:left="567"/>
        <w:rPr>
          <w:rFonts w:ascii="Traditional Arabic" w:eastAsia="Times New Roman" w:hAnsi="Traditional Arabic" w:cs="Traditional Arabic"/>
          <w:color w:val="000000"/>
          <w:sz w:val="32"/>
          <w:szCs w:val="32"/>
        </w:rPr>
      </w:pPr>
      <w:r w:rsidRPr="0007750E">
        <w:rPr>
          <w:rFonts w:ascii="Traditional Arabic" w:eastAsia="Times New Roman" w:hAnsi="Traditional Arabic" w:cs="Traditional Arabic"/>
          <w:color w:val="000000"/>
          <w:sz w:val="32"/>
          <w:szCs w:val="32"/>
          <w:rtl/>
        </w:rPr>
        <w:t>المبحث الرابع: انعكاسات الأزمة المالية العالمية على الاقتصاد الجزائري</w:t>
      </w:r>
      <w:r>
        <w:rPr>
          <w:rFonts w:ascii="Traditional Arabic" w:eastAsia="Times New Roman" w:hAnsi="Traditional Arabic" w:cs="Traditional Arabic" w:hint="cs"/>
          <w:color w:val="000000"/>
          <w:sz w:val="32"/>
          <w:szCs w:val="32"/>
          <w:rtl/>
        </w:rPr>
        <w:t>؛</w:t>
      </w:r>
      <w:r w:rsidRPr="0007750E">
        <w:rPr>
          <w:rFonts w:ascii="Traditional Arabic" w:eastAsia="Times New Roman" w:hAnsi="Traditional Arabic" w:cs="Traditional Arabic"/>
          <w:color w:val="000000"/>
          <w:sz w:val="32"/>
          <w:szCs w:val="32"/>
          <w:rtl/>
        </w:rPr>
        <w:t xml:space="preserve"> </w:t>
      </w:r>
    </w:p>
    <w:p w:rsidR="00ED05AC" w:rsidRPr="002476D9" w:rsidRDefault="002476D9" w:rsidP="002476D9">
      <w:pPr>
        <w:bidi/>
        <w:spacing w:after="0"/>
        <w:ind w:left="567"/>
        <w:rPr>
          <w:rFonts w:ascii="Traditional Arabic" w:eastAsia="Times New Roman" w:hAnsi="Traditional Arabic" w:cs="Traditional Arabic"/>
          <w:color w:val="000000"/>
          <w:sz w:val="32"/>
          <w:szCs w:val="32"/>
          <w:rtl/>
        </w:rPr>
      </w:pPr>
      <w:r w:rsidRPr="0007750E">
        <w:rPr>
          <w:rFonts w:ascii="Traditional Arabic" w:eastAsia="Times New Roman" w:hAnsi="Traditional Arabic" w:cs="Traditional Arabic"/>
          <w:color w:val="000000"/>
          <w:sz w:val="32"/>
          <w:szCs w:val="32"/>
          <w:rtl/>
        </w:rPr>
        <w:t>المبحث الخامس: آليات التنبؤ ومواجهة الأزمة المالية العالمية</w:t>
      </w:r>
      <w:r>
        <w:rPr>
          <w:rFonts w:ascii="Traditional Arabic" w:eastAsia="Times New Roman" w:hAnsi="Traditional Arabic" w:cs="Traditional Arabic" w:hint="cs"/>
          <w:color w:val="000000"/>
          <w:sz w:val="32"/>
          <w:szCs w:val="32"/>
          <w:rtl/>
        </w:rPr>
        <w:t xml:space="preserve">.   </w:t>
      </w:r>
      <w:r w:rsidRPr="0007750E">
        <w:rPr>
          <w:rFonts w:ascii="Traditional Arabic" w:eastAsia="Times New Roman" w:hAnsi="Traditional Arabic" w:cs="Traditional Arabic"/>
          <w:color w:val="000000"/>
          <w:sz w:val="32"/>
          <w:szCs w:val="32"/>
          <w:rtl/>
        </w:rPr>
        <w:t xml:space="preserve"> </w:t>
      </w:r>
      <w:r w:rsidR="005F3C0A">
        <w:rPr>
          <w:rFonts w:ascii="Traditional Arabic" w:hAnsi="Traditional Arabic" w:cs="Traditional Arabic"/>
          <w:sz w:val="32"/>
          <w:szCs w:val="32"/>
          <w:rtl/>
          <w:lang w:bidi="ar-DZ"/>
        </w:rPr>
        <w:tab/>
      </w:r>
    </w:p>
    <w:p w:rsidR="00ED05AC" w:rsidRPr="004F053C" w:rsidRDefault="00ED05AC" w:rsidP="00ED05AC">
      <w:pPr>
        <w:tabs>
          <w:tab w:val="right" w:pos="567"/>
        </w:tabs>
        <w:bidi/>
        <w:jc w:val="both"/>
        <w:rPr>
          <w:rFonts w:ascii="Traditional Arabic" w:hAnsi="Traditional Arabic" w:cs="Traditional Arabic"/>
          <w:sz w:val="32"/>
          <w:szCs w:val="32"/>
          <w:rtl/>
          <w:lang w:bidi="ar-DZ"/>
        </w:rPr>
      </w:pPr>
    </w:p>
    <w:p w:rsidR="00ED05AC" w:rsidRDefault="00ED05AC" w:rsidP="00574DF1">
      <w:pPr>
        <w:bidi/>
        <w:spacing w:after="0"/>
        <w:jc w:val="both"/>
        <w:rPr>
          <w:rFonts w:ascii="Traditional Arabic" w:hAnsi="Traditional Arabic" w:cs="Traditional Arabic"/>
          <w:b/>
          <w:bCs/>
          <w:sz w:val="32"/>
          <w:szCs w:val="32"/>
          <w:rtl/>
          <w:lang w:bidi="ar-DZ"/>
        </w:rPr>
      </w:pPr>
    </w:p>
    <w:p w:rsidR="00ED05AC" w:rsidRDefault="00ED05AC" w:rsidP="00ED05AC">
      <w:pPr>
        <w:bidi/>
        <w:spacing w:after="0"/>
        <w:jc w:val="both"/>
        <w:rPr>
          <w:rFonts w:ascii="Traditional Arabic" w:hAnsi="Traditional Arabic" w:cs="Traditional Arabic"/>
          <w:b/>
          <w:bCs/>
          <w:sz w:val="32"/>
          <w:szCs w:val="32"/>
          <w:rtl/>
          <w:lang w:bidi="ar-DZ"/>
        </w:rPr>
      </w:pPr>
    </w:p>
    <w:p w:rsidR="005F3C0A" w:rsidRDefault="005F3C0A" w:rsidP="005F3C0A">
      <w:pPr>
        <w:bidi/>
        <w:spacing w:after="0"/>
        <w:jc w:val="both"/>
        <w:rPr>
          <w:rFonts w:ascii="Traditional Arabic" w:hAnsi="Traditional Arabic" w:cs="Traditional Arabic"/>
          <w:b/>
          <w:bCs/>
          <w:sz w:val="32"/>
          <w:szCs w:val="32"/>
          <w:rtl/>
          <w:lang w:bidi="ar-DZ"/>
        </w:rPr>
      </w:pPr>
    </w:p>
    <w:p w:rsidR="005F3C0A" w:rsidRDefault="005F3C0A" w:rsidP="005F3C0A">
      <w:pPr>
        <w:bidi/>
        <w:spacing w:after="0"/>
        <w:jc w:val="both"/>
        <w:rPr>
          <w:rFonts w:ascii="Traditional Arabic" w:hAnsi="Traditional Arabic" w:cs="Traditional Arabic"/>
          <w:b/>
          <w:bCs/>
          <w:sz w:val="32"/>
          <w:szCs w:val="32"/>
          <w:rtl/>
          <w:lang w:bidi="ar-DZ"/>
        </w:rPr>
      </w:pPr>
    </w:p>
    <w:p w:rsidR="00ED05AC" w:rsidRDefault="00ED05AC" w:rsidP="00ED05AC">
      <w:pPr>
        <w:bidi/>
        <w:spacing w:after="0"/>
        <w:jc w:val="both"/>
        <w:rPr>
          <w:rFonts w:ascii="Traditional Arabic" w:hAnsi="Traditional Arabic" w:cs="Traditional Arabic"/>
          <w:b/>
          <w:bCs/>
          <w:sz w:val="32"/>
          <w:szCs w:val="32"/>
          <w:rtl/>
          <w:lang w:bidi="ar-DZ"/>
        </w:rPr>
      </w:pPr>
    </w:p>
    <w:p w:rsidR="00EF7BD4" w:rsidRDefault="00EF7BD4" w:rsidP="00ED05AC">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 الأول</w:t>
      </w:r>
      <w:r w:rsidRPr="00DB7CEE">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آلية انتقال العدوى على الصعيد الدولي: </w:t>
      </w:r>
    </w:p>
    <w:p w:rsidR="007C2FD0" w:rsidRPr="007C2FD0" w:rsidRDefault="007C2FD0" w:rsidP="00743EAD">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5144A7">
        <w:rPr>
          <w:rFonts w:ascii="Traditional Arabic" w:hAnsi="Traditional Arabic" w:cs="Traditional Arabic" w:hint="cs"/>
          <w:sz w:val="32"/>
          <w:szCs w:val="32"/>
          <w:rtl/>
          <w:lang w:bidi="ar-DZ"/>
        </w:rPr>
        <w:t>كان</w:t>
      </w:r>
      <w:r>
        <w:rPr>
          <w:rFonts w:ascii="Traditional Arabic" w:hAnsi="Traditional Arabic" w:cs="Traditional Arabic" w:hint="cs"/>
          <w:sz w:val="32"/>
          <w:szCs w:val="32"/>
          <w:rtl/>
          <w:lang w:bidi="ar-DZ"/>
        </w:rPr>
        <w:t xml:space="preserve"> للتوريق الدور الرئيسي في انتقال عدوى أزمة الرهن العقاري إلى درجة أنها اعتبرت من طرف بعض الاقتصاديين العامل الرئيسي لانفجار الأزمة وانتقالها إلى باقي دول العالم، وعليه تأثرت العديد من المؤسسات المالية بهذه الأصول المسمومة. </w:t>
      </w:r>
      <w:r w:rsidRPr="005144A7">
        <w:rPr>
          <w:rFonts w:ascii="Traditional Arabic" w:hAnsi="Traditional Arabic" w:cs="Traditional Arabic" w:hint="cs"/>
          <w:sz w:val="32"/>
          <w:szCs w:val="32"/>
          <w:rtl/>
          <w:lang w:bidi="ar-DZ"/>
        </w:rPr>
        <w:t xml:space="preserve"> </w:t>
      </w:r>
    </w:p>
    <w:p w:rsidR="00EF7BD4" w:rsidRPr="00E900C0" w:rsidRDefault="00EF7BD4" w:rsidP="00EF7BD4">
      <w:pPr>
        <w:bidi/>
        <w:spacing w:after="0"/>
        <w:jc w:val="both"/>
        <w:rPr>
          <w:rFonts w:ascii="Traditional Arabic" w:hAnsi="Traditional Arabic" w:cs="Traditional Arabic"/>
          <w:b/>
          <w:bCs/>
          <w:sz w:val="32"/>
          <w:szCs w:val="32"/>
          <w:rtl/>
          <w:lang w:bidi="ar-DZ"/>
        </w:rPr>
      </w:pPr>
      <w:r w:rsidRPr="00E900C0">
        <w:rPr>
          <w:rFonts w:ascii="Traditional Arabic" w:hAnsi="Traditional Arabic" w:cs="Traditional Arabic" w:hint="cs"/>
          <w:b/>
          <w:bCs/>
          <w:sz w:val="32"/>
          <w:szCs w:val="32"/>
          <w:rtl/>
          <w:lang w:bidi="ar-DZ"/>
        </w:rPr>
        <w:t xml:space="preserve">المطلب الأول: </w:t>
      </w:r>
      <w:r w:rsidRPr="00E900C0">
        <w:rPr>
          <w:rFonts w:ascii="Traditional Arabic" w:hAnsi="Traditional Arabic" w:cs="Traditional Arabic"/>
          <w:b/>
          <w:bCs/>
          <w:sz w:val="32"/>
          <w:szCs w:val="32"/>
          <w:rtl/>
          <w:lang w:bidi="ar-DZ"/>
        </w:rPr>
        <w:t>دور انتقال العدوى</w:t>
      </w:r>
      <w:r w:rsidRPr="00E900C0">
        <w:rPr>
          <w:rFonts w:ascii="Traditional Arabic" w:hAnsi="Traditional Arabic" w:cs="Traditional Arabic" w:hint="cs"/>
          <w:b/>
          <w:bCs/>
          <w:sz w:val="32"/>
          <w:szCs w:val="32"/>
          <w:rtl/>
          <w:lang w:bidi="ar-DZ"/>
        </w:rPr>
        <w:t xml:space="preserve"> في تكريس الأزمات المالية: </w:t>
      </w:r>
      <w:r w:rsidRPr="00E900C0">
        <w:rPr>
          <w:rFonts w:ascii="Traditional Arabic" w:hAnsi="Traditional Arabic" w:cs="Traditional Arabic"/>
          <w:b/>
          <w:bCs/>
          <w:sz w:val="32"/>
          <w:szCs w:val="32"/>
          <w:rtl/>
          <w:lang w:bidi="ar-DZ"/>
        </w:rPr>
        <w:t xml:space="preserve"> </w:t>
      </w:r>
    </w:p>
    <w:p w:rsidR="00EF7BD4" w:rsidRPr="002F3118" w:rsidRDefault="00EF7BD4" w:rsidP="00EF7BD4">
      <w:pPr>
        <w:bidi/>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24"/>
          <w:szCs w:val="24"/>
          <w:rtl/>
          <w:lang w:bidi="ar-DZ"/>
        </w:rPr>
        <w:t>1</w:t>
      </w:r>
      <w:r w:rsidRPr="002F3118">
        <w:rPr>
          <w:rFonts w:ascii="Traditional Arabic" w:hAnsi="Traditional Arabic" w:cs="Traditional Arabic" w:hint="cs"/>
          <w:b/>
          <w:bCs/>
          <w:sz w:val="24"/>
          <w:szCs w:val="24"/>
          <w:rtl/>
          <w:lang w:bidi="ar-DZ"/>
        </w:rPr>
        <w:t xml:space="preserve">- </w:t>
      </w:r>
      <w:r w:rsidRPr="002F3118">
        <w:rPr>
          <w:rFonts w:ascii="Traditional Arabic" w:hAnsi="Traditional Arabic" w:cs="Traditional Arabic" w:hint="cs"/>
          <w:b/>
          <w:bCs/>
          <w:sz w:val="32"/>
          <w:szCs w:val="32"/>
          <w:rtl/>
          <w:lang w:bidi="ar-DZ"/>
        </w:rPr>
        <w:t>مفهوم عدوى الأزمات المالية:</w:t>
      </w:r>
    </w:p>
    <w:p w:rsidR="00EF7BD4" w:rsidRPr="002F3118" w:rsidRDefault="00EF7BD4" w:rsidP="00EF7BD4">
      <w:pPr>
        <w:tabs>
          <w:tab w:val="right" w:pos="567"/>
        </w:tabs>
        <w:bidi/>
        <w:jc w:val="both"/>
        <w:rPr>
          <w:rFonts w:ascii="Traditional Arabic" w:hAnsi="Traditional Arabic" w:cs="Traditional Arabic"/>
          <w:sz w:val="32"/>
          <w:szCs w:val="32"/>
          <w:rtl/>
          <w:lang w:bidi="ar-DZ"/>
        </w:rPr>
      </w:pPr>
      <w:r w:rsidRPr="002F3118">
        <w:rPr>
          <w:rFonts w:ascii="Traditional Arabic" w:hAnsi="Traditional Arabic" w:cs="Traditional Arabic" w:hint="cs"/>
          <w:sz w:val="32"/>
          <w:szCs w:val="32"/>
          <w:rtl/>
          <w:lang w:bidi="ar-DZ"/>
        </w:rPr>
        <w:t xml:space="preserve">        يعني انتقال العدوى أن حدوث أزمة في دولة ما يزيد من احتمالية حدوث نفس الأزمة في مكان آخر، فانهيار أسواق المال أو أسواق العملة في دولة ما قد يترتب عليه نشأة أزمة ثقة تؤدي إلى انهيار أسواق المال في دول أخرى قد لا ترتبط بروابط اقتصادية كبيرة مع الدولة الأولى، كما نعني بالعدوى من جهة أخرى هو انتقال أزمة من قطاع إلى آخر داخل نفس الدولة مثلا أزمة دين تؤدي إلى أزمة سعر الصرف ثم أزمة مصرفية وصولا إلى الانهيار الكامل</w:t>
      </w:r>
      <w:r w:rsidRPr="002F3118">
        <w:rPr>
          <w:rStyle w:val="Appelnotedebasdep"/>
          <w:rFonts w:ascii="Traditional Arabic" w:hAnsi="Traditional Arabic" w:cs="Traditional Arabic"/>
          <w:sz w:val="32"/>
          <w:szCs w:val="32"/>
          <w:rtl/>
          <w:lang w:bidi="ar-DZ"/>
        </w:rPr>
        <w:footnoteReference w:id="2"/>
      </w:r>
      <w:r w:rsidRPr="002F3118">
        <w:rPr>
          <w:rFonts w:ascii="Traditional Arabic" w:hAnsi="Traditional Arabic" w:cs="Traditional Arabic"/>
          <w:sz w:val="32"/>
          <w:szCs w:val="32"/>
          <w:lang w:bidi="ar-DZ"/>
        </w:rPr>
        <w:t>.</w:t>
      </w:r>
      <w:r w:rsidRPr="002F3118">
        <w:rPr>
          <w:rFonts w:ascii="Traditional Arabic" w:hAnsi="Traditional Arabic" w:cs="Traditional Arabic" w:hint="cs"/>
          <w:sz w:val="32"/>
          <w:szCs w:val="32"/>
          <w:rtl/>
          <w:lang w:bidi="ar-DZ"/>
        </w:rPr>
        <w:t xml:space="preserve">  </w:t>
      </w:r>
      <w:r w:rsidR="00390E27">
        <w:rPr>
          <w:rFonts w:ascii="Traditional Arabic" w:hAnsi="Traditional Arabic" w:cs="Traditional Arabic" w:hint="cs"/>
          <w:sz w:val="32"/>
          <w:szCs w:val="32"/>
          <w:rtl/>
          <w:lang w:bidi="ar-DZ"/>
        </w:rPr>
        <w:t xml:space="preserve"> </w:t>
      </w:r>
      <w:r w:rsidR="007C76C8">
        <w:rPr>
          <w:rFonts w:ascii="Traditional Arabic" w:hAnsi="Traditional Arabic" w:cs="Traditional Arabic"/>
          <w:sz w:val="32"/>
          <w:szCs w:val="32"/>
          <w:lang w:bidi="ar-DZ"/>
        </w:rPr>
        <w:t xml:space="preserve">  </w:t>
      </w:r>
      <w:r w:rsidR="00A06C22">
        <w:rPr>
          <w:rFonts w:ascii="Traditional Arabic" w:hAnsi="Traditional Arabic" w:cs="Traditional Arabic" w:hint="cs"/>
          <w:sz w:val="32"/>
          <w:szCs w:val="32"/>
          <w:rtl/>
          <w:lang w:bidi="ar-DZ"/>
        </w:rPr>
        <w:t xml:space="preserve"> </w:t>
      </w:r>
    </w:p>
    <w:p w:rsidR="00EF7BD4" w:rsidRPr="002F3118" w:rsidRDefault="00EF7BD4" w:rsidP="00EF7BD4">
      <w:pPr>
        <w:tabs>
          <w:tab w:val="right" w:pos="567"/>
        </w:tabs>
        <w:bidi/>
        <w:spacing w:after="0"/>
        <w:jc w:val="both"/>
        <w:rPr>
          <w:rFonts w:ascii="Traditional Arabic" w:hAnsi="Traditional Arabic" w:cs="Traditional Arabic"/>
          <w:b/>
          <w:bCs/>
          <w:sz w:val="32"/>
          <w:szCs w:val="32"/>
          <w:rtl/>
          <w:lang w:bidi="ar-DZ"/>
        </w:rPr>
      </w:pPr>
      <w:r w:rsidRPr="002F3118">
        <w:rPr>
          <w:rFonts w:ascii="Traditional Arabic" w:hAnsi="Traditional Arabic" w:cs="Traditional Arabic" w:hint="cs"/>
          <w:b/>
          <w:bCs/>
          <w:sz w:val="24"/>
          <w:szCs w:val="24"/>
          <w:rtl/>
          <w:lang w:bidi="ar-DZ"/>
        </w:rPr>
        <w:t xml:space="preserve">2- </w:t>
      </w:r>
      <w:r w:rsidRPr="002F3118">
        <w:rPr>
          <w:rFonts w:ascii="Traditional Arabic" w:hAnsi="Traditional Arabic" w:cs="Traditional Arabic" w:hint="cs"/>
          <w:b/>
          <w:bCs/>
          <w:sz w:val="32"/>
          <w:szCs w:val="32"/>
          <w:rtl/>
          <w:lang w:bidi="ar-DZ"/>
        </w:rPr>
        <w:t xml:space="preserve">نماذج العدوى المالية: </w:t>
      </w:r>
    </w:p>
    <w:p w:rsidR="00EF7BD4" w:rsidRPr="002F3118" w:rsidRDefault="00EF7BD4" w:rsidP="00EF7BD4">
      <w:pPr>
        <w:tabs>
          <w:tab w:val="right" w:pos="566"/>
        </w:tabs>
        <w:bidi/>
        <w:spacing w:after="0"/>
        <w:jc w:val="both"/>
        <w:rPr>
          <w:rFonts w:ascii="Traditional Arabic" w:hAnsi="Traditional Arabic" w:cs="Traditional Arabic"/>
          <w:sz w:val="32"/>
          <w:szCs w:val="32"/>
          <w:rtl/>
          <w:lang w:bidi="ar-DZ"/>
        </w:rPr>
      </w:pPr>
      <w:r w:rsidRPr="002F3118">
        <w:rPr>
          <w:rFonts w:ascii="Traditional Arabic" w:hAnsi="Traditional Arabic" w:cs="Traditional Arabic" w:hint="cs"/>
          <w:sz w:val="32"/>
          <w:szCs w:val="32"/>
          <w:rtl/>
          <w:lang w:bidi="ar-DZ"/>
        </w:rPr>
        <w:t xml:space="preserve">        وهناك أربعة نماذج للعدوى المالية يمكن تلخيص مضامينها فيما يلي: </w:t>
      </w:r>
    </w:p>
    <w:p w:rsidR="00EF7BD4" w:rsidRPr="002F3118" w:rsidRDefault="000A3842" w:rsidP="00EF7BD4">
      <w:pPr>
        <w:tabs>
          <w:tab w:val="right" w:pos="567"/>
        </w:tabs>
        <w:bidi/>
        <w:spacing w:after="0"/>
        <w:jc w:val="both"/>
        <w:rPr>
          <w:rFonts w:ascii="Traditional Arabic" w:hAnsi="Traditional Arabic" w:cs="Traditional Arabic"/>
          <w:b/>
          <w:bCs/>
          <w:sz w:val="32"/>
          <w:szCs w:val="32"/>
          <w:rtl/>
          <w:lang w:bidi="ar-DZ"/>
        </w:rPr>
      </w:pPr>
      <w:r w:rsidRPr="000A3842">
        <w:rPr>
          <w:rFonts w:ascii="Traditional Arabic" w:hAnsi="Traditional Arabic" w:cs="Traditional Arabic" w:hint="cs"/>
          <w:b/>
          <w:bCs/>
          <w:sz w:val="32"/>
          <w:szCs w:val="32"/>
          <w:rtl/>
          <w:lang w:bidi="ar-DZ"/>
        </w:rPr>
        <w:t>أ</w:t>
      </w:r>
      <w:r w:rsidR="00EF7BD4" w:rsidRPr="000A3842">
        <w:rPr>
          <w:rFonts w:ascii="Traditional Arabic" w:hAnsi="Traditional Arabic" w:cs="Traditional Arabic" w:hint="cs"/>
          <w:b/>
          <w:bCs/>
          <w:sz w:val="32"/>
          <w:szCs w:val="32"/>
          <w:rtl/>
          <w:lang w:bidi="ar-DZ"/>
        </w:rPr>
        <w:t xml:space="preserve">- </w:t>
      </w:r>
      <w:r w:rsidR="00EF7BD4" w:rsidRPr="002F3118">
        <w:rPr>
          <w:rFonts w:ascii="Traditional Arabic" w:hAnsi="Traditional Arabic" w:cs="Traditional Arabic" w:hint="cs"/>
          <w:b/>
          <w:bCs/>
          <w:sz w:val="32"/>
          <w:szCs w:val="32"/>
          <w:rtl/>
          <w:lang w:bidi="ar-DZ"/>
        </w:rPr>
        <w:t xml:space="preserve">نماذج الروابط الاقتصادية: </w:t>
      </w:r>
    </w:p>
    <w:p w:rsidR="00AF7DC6" w:rsidRPr="002F3118" w:rsidRDefault="00EF7BD4" w:rsidP="009B3E25">
      <w:pPr>
        <w:tabs>
          <w:tab w:val="right" w:pos="567"/>
        </w:tabs>
        <w:bidi/>
        <w:jc w:val="both"/>
        <w:rPr>
          <w:rFonts w:ascii="Traditional Arabic" w:hAnsi="Traditional Arabic" w:cs="Traditional Arabic"/>
          <w:sz w:val="32"/>
          <w:szCs w:val="32"/>
          <w:rtl/>
          <w:lang w:bidi="ar-DZ"/>
        </w:rPr>
      </w:pPr>
      <w:r w:rsidRPr="002F3118">
        <w:rPr>
          <w:rFonts w:ascii="Traditional Arabic" w:hAnsi="Traditional Arabic" w:cs="Traditional Arabic" w:hint="cs"/>
          <w:b/>
          <w:bCs/>
          <w:sz w:val="32"/>
          <w:szCs w:val="32"/>
          <w:rtl/>
          <w:lang w:bidi="ar-DZ"/>
        </w:rPr>
        <w:t xml:space="preserve">      </w:t>
      </w:r>
      <w:r w:rsidRPr="002F3118">
        <w:rPr>
          <w:rFonts w:ascii="Traditional Arabic" w:hAnsi="Traditional Arabic" w:cs="Traditional Arabic" w:hint="cs"/>
          <w:sz w:val="32"/>
          <w:szCs w:val="32"/>
          <w:rtl/>
          <w:lang w:bidi="ar-DZ"/>
        </w:rPr>
        <w:t xml:space="preserve">  طبقا لهذا النموذج، فإن الأزمة المالية التي تحدث في دولة ما تعجل بوقوعها في اقتصاديات منكمشة تجاريا أو غير متقدمة وذلك بتغيير أساسيات الاقتصاد بها، وهذا بالضرورة يمثل حالة خاصة في تفسير الصدمة أو الهزة المشتركة الناتجة عن أزمات تحدث في العديد من الأقطار أو البلدان والتي فيها تمثل الهزة أو الصدمة الخارجية حدث مالي على نطاق دولي واسع. والمثال على ذلك، تخفيض قيمة العملة الإجباري الذي يؤثر على شروط التجارة بين الدول، وبمجرد أن تحدث الأزمة الأولية يصبح بالإمكان التنبؤ بسهولة بالأزمات التي سوف تحدث في الدول ذات المستوى الاقتصادي الأدنى، لأن نماذج التجارة معروفة جيدا أو بطيئة التغيير إلى حد ما، ومع ذلك ليس هناك وضوح في موقف الدول المتأثرة بالأزمات وما يجب أن تفعله لمنع وقوع الأزمات، إلى جانب قيامها بإجراء تعديلات لسياستها بسرعة بقدر الإمكان حتى يتسنى لها جعل سياستها الاقتصادية متمشية مع الموقف الجديد.</w:t>
      </w:r>
    </w:p>
    <w:p w:rsidR="00EF7BD4" w:rsidRPr="002F3118" w:rsidRDefault="000A3842" w:rsidP="00EF7BD4">
      <w:pPr>
        <w:tabs>
          <w:tab w:val="right" w:pos="567"/>
        </w:tabs>
        <w:bidi/>
        <w:spacing w:after="0"/>
        <w:jc w:val="both"/>
        <w:rPr>
          <w:rFonts w:ascii="Traditional Arabic" w:hAnsi="Traditional Arabic" w:cs="Traditional Arabic"/>
          <w:b/>
          <w:bCs/>
          <w:sz w:val="32"/>
          <w:szCs w:val="32"/>
          <w:rtl/>
          <w:lang w:bidi="ar-DZ"/>
        </w:rPr>
      </w:pPr>
      <w:r w:rsidRPr="000A3842">
        <w:rPr>
          <w:rFonts w:ascii="Traditional Arabic" w:hAnsi="Traditional Arabic" w:cs="Traditional Arabic" w:hint="cs"/>
          <w:b/>
          <w:bCs/>
          <w:sz w:val="32"/>
          <w:szCs w:val="32"/>
          <w:rtl/>
          <w:lang w:bidi="ar-DZ"/>
        </w:rPr>
        <w:lastRenderedPageBreak/>
        <w:t>ب</w:t>
      </w:r>
      <w:r w:rsidR="00EF7BD4" w:rsidRPr="000A3842">
        <w:rPr>
          <w:rFonts w:ascii="Traditional Arabic" w:hAnsi="Traditional Arabic" w:cs="Traditional Arabic" w:hint="cs"/>
          <w:b/>
          <w:bCs/>
          <w:sz w:val="32"/>
          <w:szCs w:val="32"/>
          <w:rtl/>
          <w:lang w:bidi="ar-DZ"/>
        </w:rPr>
        <w:t xml:space="preserve">- </w:t>
      </w:r>
      <w:r w:rsidR="00EF7BD4" w:rsidRPr="002F3118">
        <w:rPr>
          <w:rFonts w:ascii="Traditional Arabic" w:hAnsi="Traditional Arabic" w:cs="Traditional Arabic" w:hint="cs"/>
          <w:b/>
          <w:bCs/>
          <w:sz w:val="32"/>
          <w:szCs w:val="32"/>
          <w:rtl/>
          <w:lang w:bidi="ar-DZ"/>
        </w:rPr>
        <w:t xml:space="preserve">نموذج زيادة الوعي:  </w:t>
      </w:r>
      <w:r w:rsidR="0070678C">
        <w:rPr>
          <w:rFonts w:ascii="Traditional Arabic" w:hAnsi="Traditional Arabic" w:cs="Traditional Arabic"/>
          <w:b/>
          <w:bCs/>
          <w:sz w:val="32"/>
          <w:szCs w:val="32"/>
          <w:lang w:bidi="ar-DZ"/>
        </w:rPr>
        <w:t xml:space="preserve">  </w:t>
      </w:r>
    </w:p>
    <w:p w:rsidR="00EF7BD4" w:rsidRPr="002F3118" w:rsidRDefault="00EF7BD4" w:rsidP="00682551">
      <w:pPr>
        <w:tabs>
          <w:tab w:val="right" w:pos="567"/>
        </w:tabs>
        <w:bidi/>
        <w:jc w:val="both"/>
        <w:rPr>
          <w:rFonts w:ascii="Traditional Arabic" w:hAnsi="Traditional Arabic" w:cs="Traditional Arabic"/>
          <w:sz w:val="32"/>
          <w:szCs w:val="32"/>
          <w:rtl/>
          <w:lang w:bidi="ar-DZ"/>
        </w:rPr>
      </w:pPr>
      <w:r w:rsidRPr="002F3118">
        <w:rPr>
          <w:rFonts w:ascii="Traditional Arabic" w:hAnsi="Traditional Arabic" w:cs="Traditional Arabic" w:hint="cs"/>
          <w:b/>
          <w:bCs/>
          <w:sz w:val="32"/>
          <w:szCs w:val="32"/>
          <w:rtl/>
          <w:lang w:bidi="ar-DZ"/>
        </w:rPr>
        <w:t xml:space="preserve">        </w:t>
      </w:r>
      <w:r w:rsidRPr="002F3118">
        <w:rPr>
          <w:rFonts w:ascii="Traditional Arabic" w:hAnsi="Traditional Arabic" w:cs="Traditional Arabic" w:hint="cs"/>
          <w:sz w:val="32"/>
          <w:szCs w:val="32"/>
          <w:rtl/>
          <w:lang w:bidi="ar-DZ"/>
        </w:rPr>
        <w:t xml:space="preserve">بربط الفجوات المعلوماتية بالأسس الاقتصادية الضعيفة الثابتة، وبافتراض أن البيانات وتحليل الأسواق الفردية التي برزت حديثا </w:t>
      </w:r>
      <w:r w:rsidR="00B80CA5">
        <w:rPr>
          <w:rFonts w:ascii="Traditional Arabic" w:hAnsi="Traditional Arabic" w:cs="Traditional Arabic" w:hint="cs"/>
          <w:sz w:val="32"/>
          <w:szCs w:val="32"/>
          <w:rtl/>
          <w:lang w:bidi="ar-DZ"/>
        </w:rPr>
        <w:t>إ</w:t>
      </w:r>
      <w:r w:rsidRPr="002F3118">
        <w:rPr>
          <w:rFonts w:ascii="Traditional Arabic" w:hAnsi="Traditional Arabic" w:cs="Traditional Arabic" w:hint="cs"/>
          <w:sz w:val="32"/>
          <w:szCs w:val="32"/>
          <w:rtl/>
          <w:lang w:bidi="ar-DZ"/>
        </w:rPr>
        <w:t xml:space="preserve">ما هي بيانات وتحليلات ضعيفة المستوى أو رفيعة المستوى يمكن استغلالها أو الاستفادة منها من جانب المستثمرين، ولأنها أسواق لا يمكنها أن تجمع البيانات ذات الصلة أو الارتباط بجميع الدول، فإن المستثمرين على اختلاف قدراتهم يركزون على القليل من هذه الأسواق. وعندما تقع هذه </w:t>
      </w:r>
      <w:r w:rsidR="00C6684C">
        <w:rPr>
          <w:rFonts w:ascii="Traditional Arabic" w:hAnsi="Traditional Arabic" w:cs="Traditional Arabic" w:hint="cs"/>
          <w:sz w:val="32"/>
          <w:szCs w:val="32"/>
          <w:rtl/>
          <w:lang w:bidi="ar-DZ"/>
        </w:rPr>
        <w:t xml:space="preserve">الدول في مشاكل فإن المستثمرين يحولون </w:t>
      </w:r>
      <w:r w:rsidRPr="002F3118">
        <w:rPr>
          <w:rFonts w:ascii="Traditional Arabic" w:hAnsi="Traditional Arabic" w:cs="Traditional Arabic" w:hint="cs"/>
          <w:sz w:val="32"/>
          <w:szCs w:val="32"/>
          <w:rtl/>
          <w:lang w:bidi="ar-DZ"/>
        </w:rPr>
        <w:t xml:space="preserve">أنظارهم إلى دول أخرى تتماشى أصولها مع سنداتهم وأوراقهم المالية، ولذا يحاولون شراء الأصول من هذه الدول، وهذا النموذج يرتبط ارتباطا وثيقا بنموذج سلوك القطيع (النموذج الرابع)، وفي عالم يتزايد فيه الوعي فإن الدول التي تمر بأزمات مالية عادة ما تكون البنية الأساسية فيها ضعيفة. ومن تم نجد الدول التي تعاني من فجوات ومشاكل في تقاريرها والإبلاغ عن الأزمات التي يمكن أن تصيبها هي دول معرضة للإصابة بالعدوى المالية، فالتحليل الجيد للبيانات وكذا الإبلاغ عنها بشكل سليم يمكن أن يقلل من التعرض للإصابة بالعدوى وذلك بخفض تكلفة المعلومات وتحسين السياسات التي قد يكون لها تأثيرها الفاعل. </w:t>
      </w:r>
    </w:p>
    <w:p w:rsidR="00EF7BD4" w:rsidRPr="002F3118" w:rsidRDefault="000A3842" w:rsidP="00EF7BD4">
      <w:pPr>
        <w:tabs>
          <w:tab w:val="right" w:pos="567"/>
        </w:tabs>
        <w:bidi/>
        <w:spacing w:after="0"/>
        <w:jc w:val="both"/>
        <w:rPr>
          <w:rFonts w:ascii="Traditional Arabic" w:hAnsi="Traditional Arabic" w:cs="Traditional Arabic"/>
          <w:b/>
          <w:bCs/>
          <w:sz w:val="32"/>
          <w:szCs w:val="32"/>
          <w:rtl/>
          <w:lang w:bidi="ar-DZ"/>
        </w:rPr>
      </w:pPr>
      <w:r w:rsidRPr="000A3842">
        <w:rPr>
          <w:rFonts w:ascii="Traditional Arabic" w:hAnsi="Traditional Arabic" w:cs="Traditional Arabic" w:hint="cs"/>
          <w:b/>
          <w:bCs/>
          <w:sz w:val="32"/>
          <w:szCs w:val="32"/>
          <w:rtl/>
          <w:lang w:bidi="ar-DZ"/>
        </w:rPr>
        <w:t>ج-</w:t>
      </w:r>
      <w:r w:rsidR="00EF7BD4" w:rsidRPr="000A3842">
        <w:rPr>
          <w:rFonts w:ascii="Traditional Arabic" w:hAnsi="Traditional Arabic" w:cs="Traditional Arabic" w:hint="cs"/>
          <w:b/>
          <w:bCs/>
          <w:sz w:val="32"/>
          <w:szCs w:val="32"/>
          <w:rtl/>
          <w:lang w:bidi="ar-DZ"/>
        </w:rPr>
        <w:t xml:space="preserve"> </w:t>
      </w:r>
      <w:r w:rsidR="00EF7BD4" w:rsidRPr="002F3118">
        <w:rPr>
          <w:rFonts w:ascii="Traditional Arabic" w:hAnsi="Traditional Arabic" w:cs="Traditional Arabic" w:hint="cs"/>
          <w:b/>
          <w:bCs/>
          <w:sz w:val="32"/>
          <w:szCs w:val="32"/>
          <w:rtl/>
          <w:lang w:bidi="ar-DZ"/>
        </w:rPr>
        <w:t>نموذج تسوية محفظة الأوراق المالية:</w:t>
      </w:r>
    </w:p>
    <w:p w:rsidR="00EF7BD4" w:rsidRPr="002F3118" w:rsidRDefault="00EF7BD4" w:rsidP="00682551">
      <w:pPr>
        <w:tabs>
          <w:tab w:val="right" w:pos="567"/>
        </w:tabs>
        <w:bidi/>
        <w:jc w:val="both"/>
        <w:rPr>
          <w:rFonts w:ascii="Traditional Arabic" w:hAnsi="Traditional Arabic" w:cs="Traditional Arabic"/>
          <w:b/>
          <w:bCs/>
          <w:sz w:val="32"/>
          <w:szCs w:val="32"/>
          <w:rtl/>
          <w:lang w:bidi="ar-DZ"/>
        </w:rPr>
      </w:pPr>
      <w:r w:rsidRPr="002F3118">
        <w:rPr>
          <w:rFonts w:ascii="Traditional Arabic" w:hAnsi="Traditional Arabic" w:cs="Traditional Arabic" w:hint="cs"/>
          <w:b/>
          <w:bCs/>
          <w:sz w:val="32"/>
          <w:szCs w:val="32"/>
          <w:rtl/>
          <w:lang w:bidi="ar-DZ"/>
        </w:rPr>
        <w:t xml:space="preserve">        </w:t>
      </w:r>
      <w:r w:rsidRPr="002F3118">
        <w:rPr>
          <w:rFonts w:ascii="Traditional Arabic" w:hAnsi="Traditional Arabic" w:cs="Traditional Arabic" w:hint="cs"/>
          <w:sz w:val="32"/>
          <w:szCs w:val="32"/>
          <w:rtl/>
          <w:lang w:bidi="ar-DZ"/>
        </w:rPr>
        <w:t>نجد أن مديري السيولة النقدية والأوراق المالية المقيدة في حاجة إلى سيولة نقدية لمواجهة الزيادة المتوقعة في تجديد أصول الدولة التي حدثت فيها الأزمة الأصلية، وهنا يجد هؤلاء أنفسهم يتجاوبون مع بيع أصول</w:t>
      </w:r>
      <w:r w:rsidR="00A46000">
        <w:rPr>
          <w:rFonts w:ascii="Traditional Arabic" w:hAnsi="Traditional Arabic" w:cs="Traditional Arabic" w:hint="cs"/>
          <w:sz w:val="32"/>
          <w:szCs w:val="32"/>
          <w:rtl/>
          <w:lang w:bidi="ar-DZ"/>
        </w:rPr>
        <w:t>هم في</w:t>
      </w:r>
      <w:r w:rsidRPr="002F3118">
        <w:rPr>
          <w:rFonts w:ascii="Traditional Arabic" w:hAnsi="Traditional Arabic" w:cs="Traditional Arabic" w:hint="cs"/>
          <w:sz w:val="32"/>
          <w:szCs w:val="32"/>
          <w:rtl/>
          <w:lang w:bidi="ar-DZ"/>
        </w:rPr>
        <w:t xml:space="preserve"> الدول الأخرى</w:t>
      </w:r>
      <w:r w:rsidR="00BE597E">
        <w:rPr>
          <w:rFonts w:ascii="Traditional Arabic" w:hAnsi="Traditional Arabic" w:cs="Traditional Arabic" w:hint="cs"/>
          <w:sz w:val="32"/>
          <w:szCs w:val="32"/>
          <w:rtl/>
          <w:lang w:bidi="ar-DZ"/>
        </w:rPr>
        <w:t>،</w:t>
      </w:r>
      <w:r w:rsidRPr="002F3118">
        <w:rPr>
          <w:rFonts w:ascii="Traditional Arabic" w:hAnsi="Traditional Arabic" w:cs="Traditional Arabic" w:hint="cs"/>
          <w:sz w:val="32"/>
          <w:szCs w:val="32"/>
          <w:rtl/>
          <w:lang w:bidi="ar-DZ"/>
        </w:rPr>
        <w:t xml:space="preserve"> وهذا بدوره يتسبب في خلق مجموعة ثانية من الأزمات في تلك الدول. وبقدر ما يستطيع مديرو الأوراق المالية تجميع وتصنيف الدول في شكل سندات وأوراق تجارية طبقا لموقع هذه الدول الجغرافي بقدر ما تكون إمكانية التنبؤ بهذا النوع من العدوى على مستوى جيد، وعلاوة على ذلك فإنه من بين الدول الأكثر عرضة لهذا النوع من العدوى دول تعاني من ديون خارجية كثيرة تمثل دين إقليمي في شكل أوراق مالية</w:t>
      </w:r>
      <w:r w:rsidR="00F71DB9">
        <w:rPr>
          <w:rFonts w:ascii="Traditional Arabic" w:hAnsi="Traditional Arabic" w:cs="Traditional Arabic" w:hint="cs"/>
          <w:sz w:val="32"/>
          <w:szCs w:val="32"/>
          <w:rtl/>
          <w:lang w:bidi="ar-DZ"/>
        </w:rPr>
        <w:t>،</w:t>
      </w:r>
      <w:r w:rsidRPr="002F3118">
        <w:rPr>
          <w:rFonts w:ascii="Traditional Arabic" w:hAnsi="Traditional Arabic" w:cs="Traditional Arabic" w:hint="cs"/>
          <w:sz w:val="32"/>
          <w:szCs w:val="32"/>
          <w:rtl/>
          <w:lang w:bidi="ar-DZ"/>
        </w:rPr>
        <w:t xml:space="preserve"> لأن مثل هذه الأوراق يتم رفع قيمتها من خلال أدوات مشتقة أو ثانوية.  </w:t>
      </w:r>
      <w:r w:rsidRPr="002F3118">
        <w:rPr>
          <w:rFonts w:ascii="Traditional Arabic" w:hAnsi="Traditional Arabic" w:cs="Traditional Arabic" w:hint="cs"/>
          <w:b/>
          <w:bCs/>
          <w:sz w:val="32"/>
          <w:szCs w:val="32"/>
          <w:rtl/>
          <w:lang w:bidi="ar-DZ"/>
        </w:rPr>
        <w:t xml:space="preserve"> </w:t>
      </w:r>
    </w:p>
    <w:p w:rsidR="00EF7BD4" w:rsidRPr="002F3118" w:rsidRDefault="000A3842" w:rsidP="00EF7BD4">
      <w:pPr>
        <w:tabs>
          <w:tab w:val="right" w:pos="567"/>
        </w:tabs>
        <w:bidi/>
        <w:spacing w:after="0"/>
        <w:jc w:val="both"/>
        <w:rPr>
          <w:rFonts w:ascii="Traditional Arabic" w:hAnsi="Traditional Arabic" w:cs="Traditional Arabic"/>
          <w:b/>
          <w:bCs/>
          <w:sz w:val="32"/>
          <w:szCs w:val="32"/>
          <w:rtl/>
          <w:lang w:bidi="ar-DZ"/>
        </w:rPr>
      </w:pPr>
      <w:r w:rsidRPr="000A3842">
        <w:rPr>
          <w:rFonts w:ascii="Traditional Arabic" w:hAnsi="Traditional Arabic" w:cs="Traditional Arabic" w:hint="cs"/>
          <w:b/>
          <w:bCs/>
          <w:sz w:val="32"/>
          <w:szCs w:val="32"/>
          <w:rtl/>
          <w:lang w:bidi="ar-DZ"/>
        </w:rPr>
        <w:t>د-</w:t>
      </w:r>
      <w:r w:rsidR="00EF7BD4" w:rsidRPr="000A3842">
        <w:rPr>
          <w:rFonts w:ascii="Traditional Arabic" w:hAnsi="Traditional Arabic" w:cs="Traditional Arabic" w:hint="cs"/>
          <w:b/>
          <w:bCs/>
          <w:sz w:val="32"/>
          <w:szCs w:val="32"/>
          <w:rtl/>
          <w:lang w:bidi="ar-DZ"/>
        </w:rPr>
        <w:t xml:space="preserve"> </w:t>
      </w:r>
      <w:r w:rsidR="00EF7BD4" w:rsidRPr="002F3118">
        <w:rPr>
          <w:rFonts w:ascii="Traditional Arabic" w:hAnsi="Traditional Arabic" w:cs="Traditional Arabic" w:hint="cs"/>
          <w:b/>
          <w:bCs/>
          <w:sz w:val="32"/>
          <w:szCs w:val="32"/>
          <w:rtl/>
          <w:lang w:bidi="ar-DZ"/>
        </w:rPr>
        <w:t xml:space="preserve">نموذج سلوك القطيع:  </w:t>
      </w:r>
    </w:p>
    <w:p w:rsidR="00EF7BD4" w:rsidRPr="0055246A" w:rsidRDefault="00EF7BD4" w:rsidP="00EF7BD4">
      <w:pPr>
        <w:tabs>
          <w:tab w:val="right" w:pos="567"/>
        </w:tabs>
        <w:bidi/>
        <w:jc w:val="both"/>
        <w:rPr>
          <w:rFonts w:ascii="Traditional Arabic" w:hAnsi="Traditional Arabic" w:cs="Traditional Arabic"/>
          <w:sz w:val="32"/>
          <w:szCs w:val="32"/>
          <w:rtl/>
          <w:lang w:bidi="ar-DZ"/>
        </w:rPr>
      </w:pPr>
      <w:r w:rsidRPr="002F3118">
        <w:rPr>
          <w:rFonts w:ascii="Traditional Arabic" w:hAnsi="Traditional Arabic" w:cs="Traditional Arabic" w:hint="cs"/>
          <w:b/>
          <w:bCs/>
          <w:sz w:val="32"/>
          <w:szCs w:val="32"/>
          <w:rtl/>
          <w:lang w:bidi="ar-DZ"/>
        </w:rPr>
        <w:t xml:space="preserve">        </w:t>
      </w:r>
      <w:r w:rsidRPr="002F3118">
        <w:rPr>
          <w:rFonts w:ascii="Traditional Arabic" w:hAnsi="Traditional Arabic" w:cs="Traditional Arabic" w:hint="cs"/>
          <w:sz w:val="32"/>
          <w:szCs w:val="32"/>
          <w:rtl/>
          <w:lang w:bidi="ar-DZ"/>
        </w:rPr>
        <w:t xml:space="preserve">يقوم المستثمرون في هذا النموذج بخلق عدوى مالية وذلك بإهمالهم أو تغاضيهم عن أنواع معينة من الاستثمارات في الأوراق المالية استجابة لاقتناعهم بما يفعله المستثمرون الآخرون. فالأزمة في أحد البلدان قد تدفع الدائنين إلى إعادة تقييم الأوضاع الاقتصادية الأساسية في البلدان الأخرى، حتى ولو لم يكن هناك أية </w:t>
      </w:r>
      <w:r w:rsidRPr="002F3118">
        <w:rPr>
          <w:rFonts w:ascii="Traditional Arabic" w:hAnsi="Traditional Arabic" w:cs="Traditional Arabic" w:hint="cs"/>
          <w:sz w:val="32"/>
          <w:szCs w:val="32"/>
          <w:rtl/>
          <w:lang w:bidi="ar-DZ"/>
        </w:rPr>
        <w:lastRenderedPageBreak/>
        <w:t>تغيرات في هذه البلدان، وذلك من أجل تقليل مخاطر استثماراتهم، وغالبا ما يكون هذا السلوك ناتجا عن تأثير عوامل نفسية وعن نقص في المعلومات والشفافية</w:t>
      </w:r>
      <w:r w:rsidR="00A70271">
        <w:rPr>
          <w:rFonts w:ascii="Traditional Arabic" w:hAnsi="Traditional Arabic" w:cs="Traditional Arabic" w:hint="cs"/>
          <w:sz w:val="32"/>
          <w:szCs w:val="32"/>
          <w:rtl/>
          <w:lang w:bidi="ar-DZ"/>
        </w:rPr>
        <w:t>،</w:t>
      </w:r>
      <w:r w:rsidRPr="002F3118">
        <w:rPr>
          <w:rFonts w:ascii="Traditional Arabic" w:hAnsi="Traditional Arabic" w:cs="Traditional Arabic" w:hint="cs"/>
          <w:sz w:val="32"/>
          <w:szCs w:val="32"/>
          <w:rtl/>
          <w:lang w:bidi="ar-DZ"/>
        </w:rPr>
        <w:t xml:space="preserve"> مما يدفعهم إلى إتباع سلوك القطيع، حيث يميل الدائنون إلى محاكاة بعضهم البعض. إن عدوى الأزمة تنتقل في هذه الحالة عبر الآلية المعروفة "بنداء الاستيقاظ"، بمعنى أن اندلاع الأزمة في بلد ما يؤدي إلى استيقاظ الدائنين وتنبيههم إلى ضرورة إعادة تقييم الجدارة الائتمانية للمعترضين في البلدان الأخرى، فاتخاذ الدائنون إجراءات وتدابير لحماية أموالهم تؤدي إلى انتشار الأزمة. وعلى النقيض من نموذج الوعي المتزايد فإن البنية الاقتصادية الأساسية لا يتعين أن تكون ضعيفة حتى يصاب المستثمرون بنوع من الذعر، فإذا كان المستثمرون نمطيين ومن الذين يعملون في مجال تجارة التجزئة فإن إمكانية التنبؤ في هذه الحالة تصبح نسبية، فاعتناق الدولة لسياسة الاستثمار في تجارة التجزئة يعد مؤشر قوي على مدى إمكانية تعرضها للعدوى. أما إذا اتخذت الدولة خطوات </w:t>
      </w:r>
      <w:r w:rsidR="00881F23">
        <w:rPr>
          <w:rFonts w:ascii="Traditional Arabic" w:hAnsi="Traditional Arabic" w:cs="Traditional Arabic" w:hint="cs"/>
          <w:sz w:val="32"/>
          <w:szCs w:val="32"/>
          <w:rtl/>
          <w:lang w:bidi="ar-DZ"/>
        </w:rPr>
        <w:t>ا</w:t>
      </w:r>
      <w:r w:rsidRPr="002F3118">
        <w:rPr>
          <w:rFonts w:ascii="Traditional Arabic" w:hAnsi="Traditional Arabic" w:cs="Traditional Arabic" w:hint="cs"/>
          <w:sz w:val="32"/>
          <w:szCs w:val="32"/>
          <w:rtl/>
          <w:lang w:bidi="ar-DZ"/>
        </w:rPr>
        <w:t>تجاه الحد من الاستثمارات في تجارة التجزئة إلى أن تنشط، وقامت بتأسيس نظم وقواعد المعلومات لديها وكذا لأسواقها المالية، كل هذا من شأنه أن يقلل من احتمال الإصابة بالعدوى، ولكنها في نفس الوقت تقلل من فرص بعض الاستثمارات الجديدة، وأيضا ليس من الواضح أن مثل حالات الذعر هذه قاصرة على المستثمرين النمطيين، لأن التفاعل مع الإشاعات غير السليمة قد يكون مؤكدا عندما تكون المعلومات غير كاملة أو تكلفة الحصول عليها مرتفعة</w:t>
      </w:r>
      <w:r w:rsidRPr="002F3118">
        <w:rPr>
          <w:rStyle w:val="Appelnotedebasdep"/>
          <w:rFonts w:ascii="Traditional Arabic" w:hAnsi="Traditional Arabic" w:cs="Traditional Arabic"/>
          <w:sz w:val="32"/>
          <w:szCs w:val="32"/>
          <w:rtl/>
          <w:lang w:bidi="ar-DZ"/>
        </w:rPr>
        <w:footnoteReference w:id="3"/>
      </w:r>
      <w:r w:rsidRPr="002F3118">
        <w:rPr>
          <w:rFonts w:ascii="Traditional Arabic" w:hAnsi="Traditional Arabic" w:cs="Traditional Arabic" w:hint="cs"/>
          <w:sz w:val="32"/>
          <w:szCs w:val="32"/>
          <w:rtl/>
          <w:lang w:bidi="ar-DZ"/>
        </w:rPr>
        <w:t>.</w:t>
      </w:r>
      <w:r w:rsidR="00E42DEB">
        <w:rPr>
          <w:rFonts w:ascii="Traditional Arabic" w:hAnsi="Traditional Arabic" w:cs="Traditional Arabic" w:hint="cs"/>
          <w:sz w:val="32"/>
          <w:szCs w:val="32"/>
          <w:rtl/>
          <w:lang w:bidi="ar-DZ"/>
        </w:rPr>
        <w:t xml:space="preserve">  </w:t>
      </w:r>
    </w:p>
    <w:p w:rsidR="00EF7BD4" w:rsidRDefault="00EF7BD4" w:rsidP="00EF7BD4">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المطلب الثاني: </w:t>
      </w:r>
      <w:r w:rsidRPr="00DB7CEE">
        <w:rPr>
          <w:rFonts w:ascii="Traditional Arabic" w:hAnsi="Traditional Arabic" w:cs="Traditional Arabic" w:hint="cs"/>
          <w:b/>
          <w:bCs/>
          <w:sz w:val="32"/>
          <w:szCs w:val="32"/>
          <w:rtl/>
          <w:lang w:bidi="ar-DZ"/>
        </w:rPr>
        <w:t>دور التوريق في انتقال</w:t>
      </w:r>
      <w:r>
        <w:rPr>
          <w:rFonts w:ascii="Traditional Arabic" w:hAnsi="Traditional Arabic" w:cs="Traditional Arabic" w:hint="cs"/>
          <w:b/>
          <w:bCs/>
          <w:sz w:val="32"/>
          <w:szCs w:val="32"/>
          <w:rtl/>
          <w:lang w:bidi="ar-DZ"/>
        </w:rPr>
        <w:t xml:space="preserve"> عدوى</w:t>
      </w:r>
      <w:r w:rsidR="00900722">
        <w:rPr>
          <w:rFonts w:ascii="Traditional Arabic" w:hAnsi="Traditional Arabic" w:cs="Traditional Arabic" w:hint="cs"/>
          <w:b/>
          <w:bCs/>
          <w:sz w:val="32"/>
          <w:szCs w:val="32"/>
          <w:rtl/>
          <w:lang w:bidi="ar-DZ"/>
        </w:rPr>
        <w:t xml:space="preserve"> أزمة</w:t>
      </w:r>
      <w:r w:rsidRPr="00DB7CEE">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الرهن العقاري:  </w:t>
      </w:r>
    </w:p>
    <w:p w:rsidR="00EF7BD4" w:rsidRDefault="00EF7BD4" w:rsidP="00EF7BD4">
      <w:pPr>
        <w:tabs>
          <w:tab w:val="right" w:pos="567"/>
        </w:tabs>
        <w:bidi/>
        <w:spacing w:after="0"/>
        <w:jc w:val="both"/>
        <w:rPr>
          <w:rFonts w:ascii="Traditional Arabic" w:hAnsi="Traditional Arabic" w:cs="Traditional Arabic"/>
          <w:b/>
          <w:bCs/>
          <w:sz w:val="32"/>
          <w:szCs w:val="32"/>
          <w:rtl/>
          <w:lang w:bidi="ar-DZ"/>
        </w:rPr>
      </w:pPr>
      <w:r w:rsidRPr="001422F6">
        <w:rPr>
          <w:rFonts w:ascii="Traditional Arabic" w:hAnsi="Traditional Arabic" w:cs="Traditional Arabic" w:hint="cs"/>
          <w:b/>
          <w:bCs/>
          <w:sz w:val="24"/>
          <w:szCs w:val="24"/>
          <w:rtl/>
          <w:lang w:bidi="ar-DZ"/>
        </w:rPr>
        <w:t xml:space="preserve">1- </w:t>
      </w:r>
      <w:r>
        <w:rPr>
          <w:rFonts w:ascii="Traditional Arabic" w:hAnsi="Traditional Arabic" w:cs="Traditional Arabic" w:hint="cs"/>
          <w:b/>
          <w:bCs/>
          <w:sz w:val="32"/>
          <w:szCs w:val="32"/>
          <w:rtl/>
          <w:lang w:bidi="ar-DZ"/>
        </w:rPr>
        <w:t>مفهوم نشاط التوريق:</w:t>
      </w:r>
    </w:p>
    <w:p w:rsidR="00AF7DC6" w:rsidRDefault="00EF7BD4" w:rsidP="009B3E25">
      <w:pPr>
        <w:tabs>
          <w:tab w:val="right" w:pos="566"/>
        </w:tabs>
        <w:bidi/>
        <w:jc w:val="both"/>
        <w:rPr>
          <w:rFonts w:ascii="Traditional Arabic" w:hAnsi="Traditional Arabic" w:cs="Traditional Arabic"/>
          <w:sz w:val="32"/>
          <w:szCs w:val="32"/>
          <w:rtl/>
          <w:lang w:bidi="ar-DZ"/>
        </w:rPr>
      </w:pPr>
      <w:r w:rsidRPr="003B1E44">
        <w:rPr>
          <w:rFonts w:ascii="Traditional Arabic" w:hAnsi="Traditional Arabic" w:cs="Traditional Arabic"/>
          <w:sz w:val="32"/>
          <w:szCs w:val="32"/>
          <w:lang w:bidi="ar-DZ"/>
        </w:rPr>
        <w:t xml:space="preserve">       </w:t>
      </w:r>
      <w:r w:rsidRPr="003B1E44">
        <w:rPr>
          <w:rFonts w:ascii="Traditional Arabic" w:hAnsi="Traditional Arabic" w:cs="Traditional Arabic" w:hint="cs"/>
          <w:sz w:val="32"/>
          <w:szCs w:val="32"/>
          <w:rtl/>
          <w:lang w:bidi="ar-DZ"/>
        </w:rPr>
        <w:t>يعتبر</w:t>
      </w:r>
      <w:r>
        <w:rPr>
          <w:rFonts w:ascii="Traditional Arabic" w:hAnsi="Traditional Arabic" w:cs="Traditional Arabic" w:hint="cs"/>
          <w:sz w:val="32"/>
          <w:szCs w:val="32"/>
          <w:rtl/>
          <w:lang w:bidi="ar-DZ"/>
        </w:rPr>
        <w:t xml:space="preserve"> التوريق''</w:t>
      </w:r>
      <w:r w:rsidRPr="00272E71">
        <w:rPr>
          <w:rFonts w:ascii="Traditional Arabic" w:hAnsi="Traditional Arabic" w:cs="Traditional Arabic"/>
          <w:sz w:val="24"/>
          <w:szCs w:val="24"/>
          <w:lang w:bidi="ar-DZ"/>
        </w:rPr>
        <w:t>Titrisation</w:t>
      </w:r>
      <w:r w:rsidRPr="00272E71">
        <w:rPr>
          <w:rFonts w:ascii="Traditional Arabic" w:hAnsi="Traditional Arabic" w:cs="Traditional Arabic" w:hint="cs"/>
          <w:sz w:val="24"/>
          <w:szCs w:val="24"/>
          <w:rtl/>
          <w:lang w:bidi="ar-DZ"/>
        </w:rPr>
        <w:t xml:space="preserve"> </w:t>
      </w:r>
      <w:r w:rsidRPr="00272E71">
        <w:rPr>
          <w:rFonts w:ascii="Traditional Arabic" w:hAnsi="Traditional Arabic" w:cs="Traditional Arabic" w:hint="cs"/>
          <w:sz w:val="32"/>
          <w:szCs w:val="32"/>
          <w:rtl/>
          <w:lang w:bidi="ar-DZ"/>
        </w:rPr>
        <w:t>''</w:t>
      </w:r>
      <w:r>
        <w:rPr>
          <w:rFonts w:ascii="Traditional Arabic" w:hAnsi="Traditional Arabic" w:cs="Traditional Arabic" w:hint="cs"/>
          <w:sz w:val="24"/>
          <w:szCs w:val="24"/>
          <w:rtl/>
          <w:lang w:bidi="ar-DZ"/>
        </w:rPr>
        <w:t xml:space="preserve"> </w:t>
      </w:r>
      <w:r w:rsidRPr="00272E71">
        <w:rPr>
          <w:rFonts w:ascii="Traditional Arabic" w:hAnsi="Traditional Arabic" w:cs="Traditional Arabic" w:hint="cs"/>
          <w:sz w:val="32"/>
          <w:szCs w:val="32"/>
          <w:rtl/>
          <w:lang w:bidi="ar-DZ"/>
        </w:rPr>
        <w:t>أو</w:t>
      </w:r>
      <w:r>
        <w:rPr>
          <w:rFonts w:ascii="Traditional Arabic" w:hAnsi="Traditional Arabic" w:cs="Traditional Arabic" w:hint="cs"/>
          <w:sz w:val="32"/>
          <w:szCs w:val="32"/>
          <w:rtl/>
          <w:lang w:bidi="ar-DZ"/>
        </w:rPr>
        <w:t xml:space="preserve"> ''</w:t>
      </w:r>
      <w:r w:rsidRPr="00272E71">
        <w:rPr>
          <w:rFonts w:ascii="Traditional Arabic" w:hAnsi="Traditional Arabic" w:cs="Traditional Arabic"/>
          <w:sz w:val="24"/>
          <w:szCs w:val="24"/>
          <w:lang w:bidi="ar-DZ"/>
        </w:rPr>
        <w:t>Securitization</w:t>
      </w:r>
      <w:r w:rsidRPr="00272E71">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أحد الأنشطة المالية المستحدثة التي يمكن عن طريقها لأحد المؤسسات المالية المصرفية أو غير المصرفية أن تقوم بتحويل الحقوق المالية الغير قابلة للتداول والمضمونة بأصول إلى منشاة متخصصة تسمى بشركة التوريق، بهدف إصدار أوراق مالية جديدة في مقابل هذه الحقوق المالية تكون قابلة للتداول في سوق الأوراق المالية.</w:t>
      </w:r>
    </w:p>
    <w:p w:rsidR="009B3E25" w:rsidRDefault="009B3E25" w:rsidP="009B3E25">
      <w:pPr>
        <w:tabs>
          <w:tab w:val="right" w:pos="566"/>
        </w:tabs>
        <w:bidi/>
        <w:jc w:val="both"/>
        <w:rPr>
          <w:rFonts w:ascii="Traditional Arabic" w:hAnsi="Traditional Arabic" w:cs="Traditional Arabic"/>
          <w:sz w:val="32"/>
          <w:szCs w:val="32"/>
          <w:rtl/>
          <w:lang w:bidi="ar-DZ"/>
        </w:rPr>
      </w:pPr>
    </w:p>
    <w:p w:rsidR="009B3E25" w:rsidRDefault="009B3E25" w:rsidP="009B3E25">
      <w:pPr>
        <w:tabs>
          <w:tab w:val="right" w:pos="566"/>
        </w:tabs>
        <w:bidi/>
        <w:jc w:val="both"/>
        <w:rPr>
          <w:rFonts w:ascii="Traditional Arabic" w:hAnsi="Traditional Arabic" w:cs="Traditional Arabic"/>
          <w:sz w:val="32"/>
          <w:szCs w:val="32"/>
          <w:rtl/>
          <w:lang w:bidi="ar-DZ"/>
        </w:rPr>
      </w:pPr>
    </w:p>
    <w:p w:rsidR="009B3E25" w:rsidRDefault="009B3E25" w:rsidP="009B3E25">
      <w:pPr>
        <w:tabs>
          <w:tab w:val="right" w:pos="566"/>
        </w:tabs>
        <w:bidi/>
        <w:jc w:val="both"/>
        <w:rPr>
          <w:rFonts w:ascii="Traditional Arabic" w:hAnsi="Traditional Arabic" w:cs="Traditional Arabic"/>
          <w:sz w:val="32"/>
          <w:szCs w:val="32"/>
          <w:rtl/>
          <w:lang w:bidi="ar-DZ"/>
        </w:rPr>
      </w:pPr>
    </w:p>
    <w:p w:rsidR="00EF7BD4" w:rsidRPr="00F54053" w:rsidRDefault="00EF7BD4" w:rsidP="00EF7BD4">
      <w:pPr>
        <w:tabs>
          <w:tab w:val="right" w:pos="566"/>
        </w:tabs>
        <w:bidi/>
        <w:spacing w:after="0"/>
        <w:jc w:val="both"/>
        <w:rPr>
          <w:rFonts w:ascii="Traditional Arabic" w:hAnsi="Traditional Arabic" w:cs="Traditional Arabic"/>
          <w:b/>
          <w:bCs/>
          <w:sz w:val="32"/>
          <w:szCs w:val="32"/>
          <w:rtl/>
          <w:lang w:bidi="ar-DZ"/>
        </w:rPr>
      </w:pPr>
      <w:r w:rsidRPr="00F54053">
        <w:rPr>
          <w:rFonts w:ascii="Traditional Arabic" w:hAnsi="Traditional Arabic" w:cs="Traditional Arabic" w:hint="cs"/>
          <w:b/>
          <w:bCs/>
          <w:sz w:val="24"/>
          <w:szCs w:val="24"/>
          <w:rtl/>
          <w:lang w:bidi="ar-DZ"/>
        </w:rPr>
        <w:lastRenderedPageBreak/>
        <w:t xml:space="preserve">2- </w:t>
      </w:r>
      <w:r w:rsidRPr="00F54053">
        <w:rPr>
          <w:rFonts w:ascii="Traditional Arabic" w:hAnsi="Traditional Arabic" w:cs="Traditional Arabic" w:hint="cs"/>
          <w:b/>
          <w:bCs/>
          <w:sz w:val="32"/>
          <w:szCs w:val="32"/>
          <w:rtl/>
          <w:lang w:bidi="ar-DZ"/>
        </w:rPr>
        <w:t xml:space="preserve">أطراف عملية التوريق: </w:t>
      </w:r>
    </w:p>
    <w:p w:rsidR="00EF7BD4" w:rsidRDefault="00EF7BD4" w:rsidP="00EF7BD4">
      <w:pPr>
        <w:tabs>
          <w:tab w:val="right" w:pos="566"/>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في عملية التوريق نجد الأطراف المتدخلة التالية:</w:t>
      </w:r>
    </w:p>
    <w:p w:rsidR="00EF7BD4" w:rsidRDefault="00EF7BD4" w:rsidP="00EF7BD4">
      <w:pPr>
        <w:tabs>
          <w:tab w:val="right" w:pos="566"/>
        </w:tabs>
        <w:bidi/>
        <w:jc w:val="both"/>
        <w:rPr>
          <w:rFonts w:ascii="Traditional Arabic" w:hAnsi="Traditional Arabic" w:cs="Traditional Arabic"/>
          <w:sz w:val="32"/>
          <w:szCs w:val="32"/>
          <w:rtl/>
          <w:lang w:bidi="ar-DZ"/>
        </w:rPr>
      </w:pPr>
      <w:r w:rsidRPr="002A347E">
        <w:rPr>
          <w:rFonts w:ascii="Traditional Arabic" w:hAnsi="Traditional Arabic" w:cs="Traditional Arabic" w:hint="cs"/>
          <w:b/>
          <w:bCs/>
          <w:sz w:val="24"/>
          <w:szCs w:val="24"/>
          <w:rtl/>
          <w:lang w:bidi="ar-DZ"/>
        </w:rPr>
        <w:t xml:space="preserve">- </w:t>
      </w:r>
      <w:r w:rsidRPr="00F7024D">
        <w:rPr>
          <w:rFonts w:ascii="Traditional Arabic" w:hAnsi="Traditional Arabic" w:cs="Traditional Arabic" w:hint="cs"/>
          <w:b/>
          <w:bCs/>
          <w:sz w:val="32"/>
          <w:szCs w:val="32"/>
          <w:rtl/>
          <w:lang w:bidi="ar-DZ"/>
        </w:rPr>
        <w:t>الممول أو المنشئ:</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 xml:space="preserve">وهي الشركات والمؤسسات المالية أو غير المالية التي تقوم بإقراض عملاءها، مما ينتج عنه حقوق مالية في أصول ميزانياتها، وتستطيع تحويل هذه الحقوق إلى أصول مالية متداولة بالاتجاه إلى طرف آخر (مؤسسات ذات أغراض خاصة) الذي يقوم بتوريقها. </w:t>
      </w:r>
    </w:p>
    <w:p w:rsidR="00EF7BD4" w:rsidRDefault="00EF7BD4" w:rsidP="00EF7BD4">
      <w:pPr>
        <w:tabs>
          <w:tab w:val="right" w:pos="566"/>
        </w:tabs>
        <w:bidi/>
        <w:jc w:val="both"/>
        <w:rPr>
          <w:rFonts w:ascii="Traditional Arabic" w:hAnsi="Traditional Arabic" w:cs="Traditional Arabic"/>
          <w:sz w:val="32"/>
          <w:szCs w:val="32"/>
          <w:rtl/>
          <w:lang w:bidi="ar-DZ"/>
        </w:rPr>
      </w:pPr>
      <w:r w:rsidRPr="002A347E">
        <w:rPr>
          <w:rFonts w:ascii="Traditional Arabic" w:hAnsi="Traditional Arabic" w:cs="Traditional Arabic" w:hint="cs"/>
          <w:b/>
          <w:bCs/>
          <w:sz w:val="24"/>
          <w:szCs w:val="24"/>
          <w:rtl/>
          <w:lang w:bidi="ar-DZ"/>
        </w:rPr>
        <w:t xml:space="preserve">- </w:t>
      </w:r>
      <w:r>
        <w:rPr>
          <w:rFonts w:ascii="Traditional Arabic" w:hAnsi="Traditional Arabic" w:cs="Traditional Arabic" w:hint="cs"/>
          <w:b/>
          <w:bCs/>
          <w:sz w:val="32"/>
          <w:szCs w:val="32"/>
          <w:rtl/>
          <w:lang w:bidi="ar-DZ"/>
        </w:rPr>
        <w:t>الشركة ذات الغرض الخاص</w:t>
      </w:r>
      <w:r w:rsidRPr="00F7024D">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المصدرة للأوراق المالية: </w:t>
      </w:r>
      <w:r w:rsidRPr="00116D5C">
        <w:rPr>
          <w:rFonts w:ascii="Traditional Arabic" w:hAnsi="Traditional Arabic" w:cs="Traditional Arabic" w:hint="cs"/>
          <w:sz w:val="32"/>
          <w:szCs w:val="32"/>
          <w:rtl/>
          <w:lang w:bidi="ar-DZ"/>
        </w:rPr>
        <w:t>وتعتبر</w:t>
      </w:r>
      <w:r>
        <w:rPr>
          <w:rFonts w:ascii="Traditional Arabic" w:hAnsi="Traditional Arabic" w:cs="Traditional Arabic" w:hint="cs"/>
          <w:sz w:val="32"/>
          <w:szCs w:val="32"/>
          <w:rtl/>
          <w:lang w:bidi="ar-DZ"/>
        </w:rPr>
        <w:t xml:space="preserve"> الطرف الذي يوكل له عملية توريق الديون، حيث أن نشاطها الأساسي هو تحويل الحقوق المالية المضمونة بأصول إلى أوراق مالية تكون مضمونة بتلك الحقوق، وبيعها إلى المستثمرين وتسديد مبالغها إلى الطرف الأول (الممول)، كما تلتزم تجاه حملة الأوراق المالية بالوفاء بالحقوق الناشئة عنها. </w:t>
      </w:r>
      <w:r w:rsidRPr="00116D5C">
        <w:rPr>
          <w:rFonts w:ascii="Traditional Arabic" w:hAnsi="Traditional Arabic" w:cs="Traditional Arabic" w:hint="cs"/>
          <w:sz w:val="32"/>
          <w:szCs w:val="32"/>
          <w:rtl/>
          <w:lang w:bidi="ar-DZ"/>
        </w:rPr>
        <w:t xml:space="preserve"> </w:t>
      </w:r>
    </w:p>
    <w:p w:rsidR="00EF7BD4" w:rsidRDefault="00EF7BD4" w:rsidP="00EF7BD4">
      <w:pPr>
        <w:tabs>
          <w:tab w:val="right" w:pos="566"/>
        </w:tabs>
        <w:bidi/>
        <w:jc w:val="both"/>
        <w:rPr>
          <w:rFonts w:ascii="Traditional Arabic" w:hAnsi="Traditional Arabic" w:cs="Traditional Arabic"/>
          <w:sz w:val="32"/>
          <w:szCs w:val="32"/>
          <w:rtl/>
          <w:lang w:bidi="ar-DZ"/>
        </w:rPr>
      </w:pPr>
      <w:r w:rsidRPr="002A347E">
        <w:rPr>
          <w:rFonts w:ascii="Traditional Arabic" w:hAnsi="Traditional Arabic" w:cs="Traditional Arabic" w:hint="cs"/>
          <w:b/>
          <w:bCs/>
          <w:sz w:val="24"/>
          <w:szCs w:val="24"/>
          <w:rtl/>
          <w:lang w:bidi="ar-DZ"/>
        </w:rPr>
        <w:t xml:space="preserve">- </w:t>
      </w:r>
      <w:r w:rsidRPr="002A347E">
        <w:rPr>
          <w:rFonts w:ascii="Traditional Arabic" w:hAnsi="Traditional Arabic" w:cs="Traditional Arabic" w:hint="cs"/>
          <w:b/>
          <w:bCs/>
          <w:sz w:val="32"/>
          <w:szCs w:val="32"/>
          <w:rtl/>
          <w:lang w:bidi="ar-DZ"/>
        </w:rPr>
        <w:t xml:space="preserve">شركة خدمة الدين: </w:t>
      </w:r>
      <w:r w:rsidRPr="0028699B">
        <w:rPr>
          <w:rFonts w:ascii="Traditional Arabic" w:hAnsi="Traditional Arabic" w:cs="Traditional Arabic" w:hint="cs"/>
          <w:sz w:val="32"/>
          <w:szCs w:val="32"/>
          <w:rtl/>
          <w:lang w:bidi="ar-DZ"/>
        </w:rPr>
        <w:t>وهي</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التي تقوم باستلام المتحصلات من المدينين الناشئة عن الأوراق التجارية في تواريخ استحقاقها وتسليمها إلى شركة التوريق لتقوم بسداد حقوق المستثمرين في مواعيدها، وفي كثير من الحالات يكون الممول هو نفسه الجهة المسؤولة عن خدمة الدين.</w:t>
      </w:r>
    </w:p>
    <w:p w:rsidR="00EF7BD4" w:rsidRDefault="00EF7BD4" w:rsidP="00EF7BD4">
      <w:pPr>
        <w:tabs>
          <w:tab w:val="right" w:pos="566"/>
        </w:tabs>
        <w:bidi/>
        <w:jc w:val="both"/>
        <w:rPr>
          <w:rFonts w:ascii="Traditional Arabic" w:hAnsi="Traditional Arabic" w:cs="Traditional Arabic"/>
          <w:sz w:val="32"/>
          <w:szCs w:val="32"/>
          <w:rtl/>
          <w:lang w:bidi="ar-DZ"/>
        </w:rPr>
      </w:pPr>
      <w:r w:rsidRPr="00A0763B">
        <w:rPr>
          <w:rFonts w:ascii="Traditional Arabic" w:hAnsi="Traditional Arabic" w:cs="Traditional Arabic" w:hint="cs"/>
          <w:b/>
          <w:bCs/>
          <w:sz w:val="24"/>
          <w:szCs w:val="24"/>
          <w:rtl/>
          <w:lang w:bidi="ar-DZ"/>
        </w:rPr>
        <w:t>-</w:t>
      </w:r>
      <w:r w:rsidRPr="00FA4D1B">
        <w:rPr>
          <w:rFonts w:ascii="Traditional Arabic" w:hAnsi="Traditional Arabic" w:cs="Traditional Arabic" w:hint="cs"/>
          <w:b/>
          <w:bCs/>
          <w:sz w:val="32"/>
          <w:szCs w:val="32"/>
          <w:rtl/>
          <w:lang w:bidi="ar-DZ"/>
        </w:rPr>
        <w:t xml:space="preserve"> شركة التصنيف الائتماني:</w:t>
      </w:r>
      <w:r w:rsidRPr="002A347E">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وتقوم بجمع المعلومات وإعداد الدراسات والتحليلات اللازمة، لتحديد التصنيف الائتماني المناسب للإصدار، وتقديمه للمستثمرين الذين يعتمدون عليها كأحد عناصر اتخاذ القرار، فهي تهدف إلى حمايتهم من المخاطر الائتمانية المرتبطة بالاستثمار في الأوراق المالية المصدرة من قبل شركة التوريق.</w:t>
      </w:r>
    </w:p>
    <w:p w:rsidR="001E6651" w:rsidRDefault="00EF7BD4" w:rsidP="00AF7DC6">
      <w:pPr>
        <w:tabs>
          <w:tab w:val="right" w:pos="566"/>
        </w:tabs>
        <w:bidi/>
        <w:jc w:val="both"/>
        <w:rPr>
          <w:rFonts w:ascii="Traditional Arabic" w:hAnsi="Traditional Arabic" w:cs="Traditional Arabic"/>
          <w:b/>
          <w:bCs/>
          <w:sz w:val="32"/>
          <w:szCs w:val="32"/>
          <w:lang w:bidi="ar-DZ"/>
        </w:rPr>
      </w:pPr>
      <w:r w:rsidRPr="00A0763B">
        <w:rPr>
          <w:rFonts w:ascii="Traditional Arabic" w:hAnsi="Traditional Arabic" w:cs="Traditional Arabic" w:hint="cs"/>
          <w:b/>
          <w:bCs/>
          <w:sz w:val="24"/>
          <w:szCs w:val="24"/>
          <w:rtl/>
          <w:lang w:bidi="ar-DZ"/>
        </w:rPr>
        <w:t xml:space="preserve">- </w:t>
      </w:r>
      <w:r w:rsidRPr="00B25ADD">
        <w:rPr>
          <w:rFonts w:ascii="Traditional Arabic" w:hAnsi="Traditional Arabic" w:cs="Traditional Arabic" w:hint="cs"/>
          <w:b/>
          <w:bCs/>
          <w:sz w:val="32"/>
          <w:szCs w:val="32"/>
          <w:rtl/>
          <w:lang w:bidi="ar-DZ"/>
        </w:rPr>
        <w:t xml:space="preserve">شركات ترويج وتغطية الاكتتاب: </w:t>
      </w:r>
      <w:r w:rsidRPr="004014AB">
        <w:rPr>
          <w:rFonts w:ascii="Traditional Arabic" w:hAnsi="Traditional Arabic" w:cs="Traditional Arabic" w:hint="cs"/>
          <w:sz w:val="32"/>
          <w:szCs w:val="32"/>
          <w:rtl/>
          <w:lang w:bidi="ar-DZ"/>
        </w:rPr>
        <w:t>وهي التي</w:t>
      </w:r>
      <w:r>
        <w:rPr>
          <w:rFonts w:ascii="Traditional Arabic" w:hAnsi="Traditional Arabic" w:cs="Traditional Arabic" w:hint="cs"/>
          <w:sz w:val="32"/>
          <w:szCs w:val="32"/>
          <w:rtl/>
          <w:lang w:bidi="ar-DZ"/>
        </w:rPr>
        <w:t xml:space="preserve"> تقوم بعمليات الطرح العام أو الخاص من خلال إعداد نشرة الاكتتاب أو مذكرة المعلومات بعد القيام بالدراسة المستقلة للممول بهدف توفير الإفصاح الكامل والشفافية اللازمة لمساعدة المستثمرين على اتخاذ قرارات الاستثمار. </w:t>
      </w:r>
      <w:r>
        <w:rPr>
          <w:rFonts w:ascii="Traditional Arabic" w:hAnsi="Traditional Arabic" w:cs="Traditional Arabic" w:hint="cs"/>
          <w:b/>
          <w:bCs/>
          <w:sz w:val="32"/>
          <w:szCs w:val="32"/>
          <w:rtl/>
          <w:lang w:bidi="ar-DZ"/>
        </w:rPr>
        <w:t xml:space="preserve"> </w:t>
      </w:r>
    </w:p>
    <w:p w:rsidR="00AF7DC6" w:rsidRDefault="00AF7DC6" w:rsidP="00AF7DC6">
      <w:pPr>
        <w:tabs>
          <w:tab w:val="right" w:pos="566"/>
        </w:tabs>
        <w:bidi/>
        <w:jc w:val="both"/>
        <w:rPr>
          <w:rFonts w:ascii="Traditional Arabic" w:hAnsi="Traditional Arabic" w:cs="Traditional Arabic"/>
          <w:b/>
          <w:bCs/>
          <w:sz w:val="32"/>
          <w:szCs w:val="32"/>
          <w:lang w:bidi="ar-DZ"/>
        </w:rPr>
      </w:pPr>
    </w:p>
    <w:p w:rsidR="00AF7DC6" w:rsidRDefault="00AF7DC6" w:rsidP="00AF7DC6">
      <w:pPr>
        <w:tabs>
          <w:tab w:val="right" w:pos="566"/>
        </w:tabs>
        <w:bidi/>
        <w:jc w:val="both"/>
        <w:rPr>
          <w:rFonts w:ascii="Traditional Arabic" w:hAnsi="Traditional Arabic" w:cs="Traditional Arabic"/>
          <w:b/>
          <w:bCs/>
          <w:sz w:val="32"/>
          <w:szCs w:val="32"/>
          <w:lang w:bidi="ar-DZ"/>
        </w:rPr>
      </w:pPr>
    </w:p>
    <w:p w:rsidR="00AF7DC6" w:rsidRDefault="00AF7DC6" w:rsidP="00AF7DC6">
      <w:pPr>
        <w:tabs>
          <w:tab w:val="right" w:pos="566"/>
        </w:tabs>
        <w:bidi/>
        <w:jc w:val="both"/>
        <w:rPr>
          <w:rFonts w:ascii="Traditional Arabic" w:hAnsi="Traditional Arabic" w:cs="Traditional Arabic"/>
          <w:b/>
          <w:bCs/>
          <w:sz w:val="32"/>
          <w:szCs w:val="32"/>
          <w:lang w:bidi="ar-DZ"/>
        </w:rPr>
      </w:pPr>
    </w:p>
    <w:p w:rsidR="00AF7DC6" w:rsidRDefault="00AF7DC6" w:rsidP="00AF7DC6">
      <w:pPr>
        <w:tabs>
          <w:tab w:val="right" w:pos="566"/>
        </w:tabs>
        <w:bidi/>
        <w:jc w:val="both"/>
        <w:rPr>
          <w:rFonts w:ascii="Traditional Arabic" w:hAnsi="Traditional Arabic" w:cs="Traditional Arabic"/>
          <w:b/>
          <w:bCs/>
          <w:sz w:val="32"/>
          <w:szCs w:val="32"/>
          <w:rtl/>
          <w:lang w:bidi="ar-DZ"/>
        </w:rPr>
      </w:pPr>
    </w:p>
    <w:p w:rsidR="00EF7BD4" w:rsidRPr="00B25ADD" w:rsidRDefault="00EF7BD4" w:rsidP="00EF7BD4">
      <w:pPr>
        <w:tabs>
          <w:tab w:val="right" w:pos="566"/>
        </w:tabs>
        <w:bidi/>
        <w:spacing w:after="0"/>
        <w:jc w:val="both"/>
        <w:rPr>
          <w:rFonts w:ascii="Traditional Arabic" w:hAnsi="Traditional Arabic" w:cs="Traditional Arabic"/>
          <w:b/>
          <w:bCs/>
          <w:sz w:val="32"/>
          <w:szCs w:val="32"/>
          <w:rtl/>
          <w:lang w:bidi="ar-DZ"/>
        </w:rPr>
      </w:pPr>
      <w:r w:rsidRPr="00717768">
        <w:rPr>
          <w:rFonts w:ascii="Traditional Arabic" w:hAnsi="Traditional Arabic" w:cs="Traditional Arabic" w:hint="cs"/>
          <w:b/>
          <w:bCs/>
          <w:sz w:val="24"/>
          <w:szCs w:val="24"/>
          <w:rtl/>
          <w:lang w:bidi="ar-DZ"/>
        </w:rPr>
        <w:lastRenderedPageBreak/>
        <w:t xml:space="preserve">3- </w:t>
      </w:r>
      <w:r>
        <w:rPr>
          <w:rFonts w:ascii="Traditional Arabic" w:hAnsi="Traditional Arabic" w:cs="Traditional Arabic" w:hint="cs"/>
          <w:b/>
          <w:bCs/>
          <w:sz w:val="32"/>
          <w:szCs w:val="32"/>
          <w:rtl/>
          <w:lang w:bidi="ar-DZ"/>
        </w:rPr>
        <w:t xml:space="preserve">فوائد ومزايا عملية التوريق: </w:t>
      </w:r>
    </w:p>
    <w:p w:rsidR="00EF7BD4" w:rsidRDefault="00EF7BD4" w:rsidP="00EF7BD4">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توفر عملية التوريق فوائد ومزايا عديدة أهمها:</w:t>
      </w:r>
    </w:p>
    <w:p w:rsidR="00EF7BD4" w:rsidRDefault="00EF7BD4" w:rsidP="00DB58E0">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مساعدة الشركات ذات العجز المالي على تحسين هيكلها التمويلي عن طريق تحويل الالتزامات قصيرة الأجل إلى التزامات متوسطة وطويلة الأجل</w:t>
      </w:r>
      <w:r w:rsidR="00DB58E0">
        <w:rPr>
          <w:rFonts w:ascii="Traditional Arabic" w:hAnsi="Traditional Arabic" w:cs="Traditional Arabic" w:hint="cs"/>
          <w:sz w:val="32"/>
          <w:szCs w:val="32"/>
          <w:rtl/>
          <w:lang w:bidi="ar-DZ"/>
        </w:rPr>
        <w:t>؛</w:t>
      </w:r>
    </w:p>
    <w:p w:rsidR="00EF7BD4" w:rsidRDefault="00EF7BD4" w:rsidP="0069658C">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زيادة السيولة لدى المؤسسات عن طريق تحويل الحقوق المالية غير القابلة للتداول إلى أوراق مالية جديدة قابلة للتداول</w:t>
      </w:r>
      <w:r w:rsidR="0069658C">
        <w:rPr>
          <w:rFonts w:ascii="Traditional Arabic" w:hAnsi="Traditional Arabic" w:cs="Traditional Arabic" w:hint="cs"/>
          <w:sz w:val="32"/>
          <w:szCs w:val="32"/>
          <w:rtl/>
          <w:lang w:bidi="ar-DZ"/>
        </w:rPr>
        <w:t>؛</w:t>
      </w:r>
    </w:p>
    <w:p w:rsidR="00EF7BD4" w:rsidRDefault="00EF7BD4" w:rsidP="00DB58E0">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زيادة حجم الأوراق المالية المتداولة في السوق المالية</w:t>
      </w:r>
      <w:r w:rsidR="00DB58E0">
        <w:rPr>
          <w:rFonts w:ascii="Traditional Arabic" w:hAnsi="Traditional Arabic" w:cs="Traditional Arabic" w:hint="cs"/>
          <w:sz w:val="32"/>
          <w:szCs w:val="32"/>
          <w:rtl/>
          <w:lang w:bidi="ar-DZ"/>
        </w:rPr>
        <w:t>؛</w:t>
      </w:r>
    </w:p>
    <w:p w:rsidR="00EF7BD4" w:rsidRDefault="00EF7BD4" w:rsidP="00DB58E0">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خفض مخاطر أسعار الفائدة التي يتعرض لها الممول</w:t>
      </w:r>
      <w:r w:rsidR="00DB58E0">
        <w:rPr>
          <w:rFonts w:ascii="Traditional Arabic" w:hAnsi="Traditional Arabic" w:cs="Traditional Arabic" w:hint="cs"/>
          <w:sz w:val="32"/>
          <w:szCs w:val="32"/>
          <w:rtl/>
          <w:lang w:bidi="ar-DZ"/>
        </w:rPr>
        <w:t>؛</w:t>
      </w:r>
    </w:p>
    <w:p w:rsidR="00EF7BD4" w:rsidRDefault="00EF7BD4" w:rsidP="00DB58E0">
      <w:pPr>
        <w:tabs>
          <w:tab w:val="right" w:pos="566"/>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تساهم في عمليات خصخصة المؤسسات العمومية، حيث يتم إعادة تحسين هيكلها المالي قبل البيع من خلال العرض العمومي</w:t>
      </w:r>
      <w:r>
        <w:rPr>
          <w:rStyle w:val="Appelnotedebasdep"/>
          <w:rFonts w:ascii="Traditional Arabic" w:hAnsi="Traditional Arabic" w:cs="Traditional Arabic"/>
          <w:sz w:val="32"/>
          <w:szCs w:val="32"/>
          <w:rtl/>
          <w:lang w:bidi="ar-DZ"/>
        </w:rPr>
        <w:footnoteReference w:id="4"/>
      </w:r>
      <w:r w:rsidR="00DB58E0">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lang w:bidi="ar-DZ"/>
        </w:rPr>
        <w:t xml:space="preserve"> </w:t>
      </w:r>
    </w:p>
    <w:p w:rsidR="00EF7BD4" w:rsidRPr="00B77455" w:rsidRDefault="00EF7BD4" w:rsidP="00DB58E0">
      <w:pPr>
        <w:tabs>
          <w:tab w:val="right" w:pos="566"/>
        </w:tabs>
        <w:bidi/>
        <w:spacing w:after="0"/>
        <w:jc w:val="both"/>
        <w:rPr>
          <w:rFonts w:ascii="Traditional Arabic" w:hAnsi="Traditional Arabic" w:cs="Traditional Arabic"/>
          <w:sz w:val="32"/>
          <w:szCs w:val="32"/>
          <w:rtl/>
          <w:lang w:bidi="ar-DZ"/>
        </w:rPr>
      </w:pPr>
      <w:r>
        <w:rPr>
          <w:rFonts w:ascii="Traditional Arabic" w:eastAsia="Times New Roman" w:hAnsi="Traditional Arabic" w:cs="Traditional Arabic" w:hint="cs"/>
          <w:sz w:val="32"/>
          <w:szCs w:val="32"/>
          <w:rtl/>
        </w:rPr>
        <w:t xml:space="preserve">-  زيادة </w:t>
      </w:r>
      <w:r w:rsidRPr="004457BA">
        <w:rPr>
          <w:rFonts w:ascii="Traditional Arabic" w:eastAsia="Times New Roman" w:hAnsi="Traditional Arabic" w:cs="Traditional Arabic"/>
          <w:sz w:val="32"/>
          <w:szCs w:val="32"/>
          <w:rtl/>
        </w:rPr>
        <w:t>التوسع في مصادر التمويل بما أن الأوراق المالية متاحة أمام المستثمرين العالميين</w:t>
      </w:r>
      <w:r w:rsidR="00DB58E0">
        <w:rPr>
          <w:rFonts w:ascii="Traditional Arabic" w:eastAsia="Times New Roman" w:hAnsi="Traditional Arabic" w:cs="Traditional Arabic" w:hint="cs"/>
          <w:sz w:val="32"/>
          <w:szCs w:val="32"/>
          <w:rtl/>
        </w:rPr>
        <w:t>؛</w:t>
      </w:r>
      <w:r>
        <w:rPr>
          <w:rFonts w:ascii="Traditional Arabic" w:eastAsia="Times New Roman" w:hAnsi="Traditional Arabic" w:cs="Traditional Arabic" w:hint="cs"/>
          <w:sz w:val="32"/>
          <w:szCs w:val="32"/>
          <w:rtl/>
        </w:rPr>
        <w:t xml:space="preserve"> </w:t>
      </w:r>
    </w:p>
    <w:p w:rsidR="00EF7BD4" w:rsidRDefault="00EF7BD4" w:rsidP="00EF7BD4">
      <w:pPr>
        <w:tabs>
          <w:tab w:val="right" w:pos="566"/>
        </w:tabs>
        <w:bidi/>
        <w:spacing w:after="240"/>
        <w:jc w:val="both"/>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w:t>
      </w:r>
      <w:r>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ت</w:t>
      </w:r>
      <w:r w:rsidRPr="004457BA">
        <w:rPr>
          <w:rFonts w:ascii="Traditional Arabic" w:eastAsia="Times New Roman" w:hAnsi="Traditional Arabic" w:cs="Traditional Arabic"/>
          <w:sz w:val="32"/>
          <w:szCs w:val="32"/>
          <w:rtl/>
        </w:rPr>
        <w:t xml:space="preserve">وزع المخاطر الائتمانية </w:t>
      </w:r>
      <w:r w:rsidRPr="004457BA">
        <w:rPr>
          <w:rFonts w:ascii="Traditional Arabic" w:eastAsia="Times New Roman" w:hAnsi="Traditional Arabic" w:cs="Traditional Arabic" w:hint="cs"/>
          <w:sz w:val="32"/>
          <w:szCs w:val="32"/>
          <w:rtl/>
        </w:rPr>
        <w:t xml:space="preserve">ما </w:t>
      </w:r>
      <w:r w:rsidRPr="004457BA">
        <w:rPr>
          <w:rFonts w:ascii="Traditional Arabic" w:eastAsia="Times New Roman" w:hAnsi="Traditional Arabic" w:cs="Traditional Arabic"/>
          <w:sz w:val="32"/>
          <w:szCs w:val="32"/>
          <w:rtl/>
        </w:rPr>
        <w:t xml:space="preserve">بين أكبر عدد من العملاء، </w:t>
      </w:r>
      <w:r w:rsidRPr="004457BA">
        <w:rPr>
          <w:rFonts w:ascii="Traditional Arabic" w:eastAsia="Times New Roman" w:hAnsi="Traditional Arabic" w:cs="Traditional Arabic" w:hint="cs"/>
          <w:sz w:val="32"/>
          <w:szCs w:val="32"/>
          <w:rtl/>
        </w:rPr>
        <w:t>وبالتالي</w:t>
      </w:r>
      <w:r>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ت</w:t>
      </w:r>
      <w:r w:rsidRPr="004457BA">
        <w:rPr>
          <w:rFonts w:ascii="Traditional Arabic" w:eastAsia="Times New Roman" w:hAnsi="Traditional Arabic" w:cs="Traditional Arabic"/>
          <w:sz w:val="32"/>
          <w:szCs w:val="32"/>
          <w:rtl/>
        </w:rPr>
        <w:t xml:space="preserve">خفض من تكلفة الائتمان </w:t>
      </w:r>
      <w:r>
        <w:rPr>
          <w:rFonts w:ascii="Traditional Arabic" w:eastAsia="Times New Roman" w:hAnsi="Traditional Arabic" w:cs="Traditional Arabic" w:hint="cs"/>
          <w:sz w:val="32"/>
          <w:szCs w:val="32"/>
          <w:rtl/>
        </w:rPr>
        <w:t>وت</w:t>
      </w:r>
      <w:r w:rsidRPr="004457BA">
        <w:rPr>
          <w:rFonts w:ascii="Traditional Arabic" w:eastAsia="Times New Roman" w:hAnsi="Traditional Arabic" w:cs="Traditional Arabic" w:hint="cs"/>
          <w:sz w:val="32"/>
          <w:szCs w:val="32"/>
          <w:rtl/>
        </w:rPr>
        <w:t>ضمن أكبر</w:t>
      </w:r>
      <w:r w:rsidRPr="004457BA">
        <w:rPr>
          <w:rFonts w:ascii="Traditional Arabic" w:eastAsia="Times New Roman" w:hAnsi="Traditional Arabic" w:cs="Traditional Arabic"/>
          <w:sz w:val="32"/>
          <w:szCs w:val="32"/>
          <w:rtl/>
        </w:rPr>
        <w:t xml:space="preserve"> قدر من الاستقرار المالي</w:t>
      </w:r>
      <w:r w:rsidRPr="004457BA">
        <w:rPr>
          <w:rStyle w:val="Appelnotedebasdep"/>
          <w:rFonts w:ascii="Traditional Arabic" w:eastAsia="Times New Roman" w:hAnsi="Traditional Arabic" w:cs="Traditional Arabic"/>
          <w:sz w:val="32"/>
          <w:szCs w:val="32"/>
          <w:rtl/>
        </w:rPr>
        <w:footnoteReference w:id="5"/>
      </w:r>
      <w:r>
        <w:rPr>
          <w:rFonts w:ascii="Traditional Arabic" w:eastAsia="Times New Roman" w:hAnsi="Traditional Arabic" w:cs="Traditional Arabic"/>
          <w:sz w:val="32"/>
          <w:szCs w:val="32"/>
          <w:rtl/>
        </w:rPr>
        <w:t>.</w:t>
      </w:r>
    </w:p>
    <w:p w:rsidR="00EF7BD4" w:rsidRPr="00D63F20" w:rsidRDefault="00EF7BD4" w:rsidP="00EF7BD4">
      <w:pPr>
        <w:bidi/>
        <w:spacing w:after="0"/>
        <w:jc w:val="lowKashida"/>
        <w:rPr>
          <w:rFonts w:ascii="Traditional Arabic" w:eastAsia="Times New Roman" w:hAnsi="Traditional Arabic" w:cs="Traditional Arabic"/>
          <w:b/>
          <w:bCs/>
          <w:noProof/>
          <w:sz w:val="24"/>
          <w:szCs w:val="24"/>
          <w:rtl/>
          <w:lang w:eastAsia="ar-SA" w:bidi="ar-DZ"/>
        </w:rPr>
      </w:pPr>
      <w:r w:rsidRPr="00D63F20">
        <w:rPr>
          <w:rFonts w:ascii="Traditional Arabic" w:eastAsia="Times New Roman" w:hAnsi="Traditional Arabic" w:cs="Traditional Arabic"/>
          <w:b/>
          <w:bCs/>
          <w:noProof/>
          <w:sz w:val="24"/>
          <w:szCs w:val="24"/>
          <w:lang w:eastAsia="ar-SA" w:bidi="ar-DZ"/>
        </w:rPr>
        <w:t>4</w:t>
      </w:r>
      <w:r w:rsidRPr="00D63F20">
        <w:rPr>
          <w:rFonts w:ascii="Traditional Arabic" w:eastAsia="Times New Roman" w:hAnsi="Traditional Arabic" w:cs="Traditional Arabic"/>
          <w:b/>
          <w:bCs/>
          <w:noProof/>
          <w:sz w:val="24"/>
          <w:szCs w:val="24"/>
          <w:rtl/>
          <w:lang w:eastAsia="ar-SA" w:bidi="ar-DZ"/>
        </w:rPr>
        <w:t xml:space="preserve">- </w:t>
      </w:r>
      <w:r w:rsidRPr="00D63F20">
        <w:rPr>
          <w:rFonts w:ascii="Traditional Arabic" w:eastAsia="Times New Roman" w:hAnsi="Traditional Arabic" w:cs="Traditional Arabic"/>
          <w:b/>
          <w:bCs/>
          <w:noProof/>
          <w:sz w:val="32"/>
          <w:szCs w:val="32"/>
          <w:rtl/>
          <w:lang w:eastAsia="ar-SA" w:bidi="ar-DZ"/>
        </w:rPr>
        <w:t>آلية عمل التوريق</w:t>
      </w:r>
      <w:r w:rsidRPr="00D63F20">
        <w:rPr>
          <w:rFonts w:ascii="Traditional Arabic" w:eastAsia="Times New Roman" w:hAnsi="Traditional Arabic" w:cs="Traditional Arabic"/>
          <w:b/>
          <w:bCs/>
          <w:noProof/>
          <w:sz w:val="24"/>
          <w:szCs w:val="24"/>
          <w:rtl/>
          <w:lang w:eastAsia="ar-SA" w:bidi="ar-DZ"/>
        </w:rPr>
        <w:t>:</w:t>
      </w:r>
    </w:p>
    <w:p w:rsidR="00EF7BD4" w:rsidRPr="00393A1E" w:rsidRDefault="00EF7BD4" w:rsidP="00B67E70">
      <w:pPr>
        <w:tabs>
          <w:tab w:val="right" w:pos="567"/>
        </w:tabs>
        <w:bidi/>
        <w:spacing w:after="40"/>
        <w:jc w:val="lowKashida"/>
        <w:rPr>
          <w:rFonts w:ascii="Traditional Arabic" w:eastAsia="Times New Roman" w:hAnsi="Traditional Arabic" w:cs="Traditional Arabic"/>
          <w:noProof/>
          <w:sz w:val="32"/>
          <w:szCs w:val="32"/>
          <w:rtl/>
          <w:lang w:eastAsia="ar-SA" w:bidi="ar-DZ"/>
        </w:rPr>
      </w:pPr>
      <w:r w:rsidRPr="00393A1E">
        <w:rPr>
          <w:rFonts w:ascii="Traditional Arabic" w:eastAsia="Times New Roman" w:hAnsi="Traditional Arabic" w:cs="Traditional Arabic"/>
          <w:noProof/>
          <w:sz w:val="32"/>
          <w:szCs w:val="32"/>
          <w:rtl/>
          <w:lang w:eastAsia="ar-SA" w:bidi="ar-DZ"/>
        </w:rPr>
        <w:t xml:space="preserve">        يوضح الشكل</w:t>
      </w:r>
      <w:r>
        <w:rPr>
          <w:rFonts w:ascii="Traditional Arabic" w:eastAsia="Times New Roman" w:hAnsi="Traditional Arabic" w:cs="Traditional Arabic" w:hint="cs"/>
          <w:noProof/>
          <w:sz w:val="32"/>
          <w:szCs w:val="32"/>
          <w:rtl/>
          <w:lang w:eastAsia="ar-SA" w:bidi="ar-DZ"/>
        </w:rPr>
        <w:t xml:space="preserve"> رقم </w:t>
      </w:r>
      <w:r w:rsidR="00B67E70" w:rsidRPr="00B67E70">
        <w:rPr>
          <w:rFonts w:ascii="Traditional Arabic" w:eastAsia="Times New Roman" w:hAnsi="Traditional Arabic" w:cs="Traditional Arabic" w:hint="cs"/>
          <w:noProof/>
          <w:sz w:val="24"/>
          <w:szCs w:val="24"/>
          <w:rtl/>
          <w:lang w:eastAsia="ar-SA" w:bidi="ar-DZ"/>
        </w:rPr>
        <w:t>16</w:t>
      </w:r>
      <w:r w:rsidRPr="00B67E70">
        <w:rPr>
          <w:rFonts w:ascii="Traditional Arabic" w:eastAsia="Times New Roman" w:hAnsi="Traditional Arabic" w:cs="Traditional Arabic" w:hint="cs"/>
          <w:noProof/>
          <w:sz w:val="24"/>
          <w:szCs w:val="24"/>
          <w:rtl/>
          <w:lang w:eastAsia="ar-SA" w:bidi="ar-DZ"/>
        </w:rPr>
        <w:t xml:space="preserve"> </w:t>
      </w:r>
      <w:r w:rsidRPr="00393A1E">
        <w:rPr>
          <w:rFonts w:ascii="Traditional Arabic" w:eastAsia="Times New Roman" w:hAnsi="Traditional Arabic" w:cs="Traditional Arabic"/>
          <w:noProof/>
          <w:sz w:val="32"/>
          <w:szCs w:val="32"/>
          <w:rtl/>
          <w:lang w:eastAsia="ar-SA" w:bidi="ar-DZ"/>
        </w:rPr>
        <w:t>آلية تنفيذ عمليات التوريق و التي تتم عبر مرحلتي</w:t>
      </w:r>
      <w:r>
        <w:rPr>
          <w:rFonts w:ascii="Traditional Arabic" w:eastAsia="Times New Roman" w:hAnsi="Traditional Arabic" w:cs="Traditional Arabic" w:hint="cs"/>
          <w:noProof/>
          <w:sz w:val="32"/>
          <w:szCs w:val="32"/>
          <w:rtl/>
          <w:lang w:eastAsia="ar-SA" w:bidi="ar-DZ"/>
        </w:rPr>
        <w:t>ن</w:t>
      </w:r>
      <w:r w:rsidRPr="00393A1E">
        <w:rPr>
          <w:rFonts w:ascii="Traditional Arabic" w:eastAsia="Times New Roman" w:hAnsi="Traditional Arabic" w:cs="Traditional Arabic"/>
          <w:noProof/>
          <w:szCs w:val="32"/>
          <w:vertAlign w:val="superscript"/>
          <w:rtl/>
          <w:lang w:eastAsia="ar-SA" w:bidi="ar-DZ"/>
        </w:rPr>
        <w:footnoteReference w:id="6"/>
      </w:r>
      <w:r>
        <w:rPr>
          <w:rFonts w:ascii="Traditional Arabic" w:eastAsia="Times New Roman" w:hAnsi="Traditional Arabic" w:cs="Traditional Arabic" w:hint="cs"/>
          <w:noProof/>
          <w:sz w:val="32"/>
          <w:szCs w:val="32"/>
          <w:rtl/>
          <w:lang w:eastAsia="ar-SA" w:bidi="ar-DZ"/>
        </w:rPr>
        <w:t>:</w:t>
      </w:r>
      <w:r w:rsidR="00B67E70">
        <w:rPr>
          <w:rFonts w:ascii="Traditional Arabic" w:eastAsia="Times New Roman" w:hAnsi="Traditional Arabic" w:cs="Traditional Arabic" w:hint="cs"/>
          <w:noProof/>
          <w:sz w:val="32"/>
          <w:szCs w:val="32"/>
          <w:rtl/>
          <w:lang w:eastAsia="ar-SA" w:bidi="ar-DZ"/>
        </w:rPr>
        <w:t xml:space="preserve">  </w:t>
      </w:r>
    </w:p>
    <w:p w:rsidR="00EF7BD4" w:rsidRPr="00393A1E" w:rsidRDefault="00EF7BD4" w:rsidP="00D9582C">
      <w:pPr>
        <w:bidi/>
        <w:spacing w:after="40"/>
        <w:jc w:val="both"/>
        <w:rPr>
          <w:rFonts w:ascii="Traditional Arabic" w:eastAsia="Times New Roman" w:hAnsi="Traditional Arabic" w:cs="Traditional Arabic"/>
          <w:noProof/>
          <w:sz w:val="32"/>
          <w:szCs w:val="32"/>
          <w:rtl/>
          <w:lang w:eastAsia="ar-SA" w:bidi="ar-DZ"/>
        </w:rPr>
      </w:pPr>
      <w:r w:rsidRPr="00393A1E">
        <w:rPr>
          <w:rFonts w:ascii="Traditional Arabic" w:eastAsia="Times New Roman" w:hAnsi="Traditional Arabic" w:cs="Traditional Arabic"/>
          <w:b/>
          <w:bCs/>
          <w:noProof/>
          <w:sz w:val="32"/>
          <w:szCs w:val="32"/>
          <w:rtl/>
          <w:lang w:eastAsia="ar-SA" w:bidi="ar-DZ"/>
        </w:rPr>
        <w:t>المرحلة الأولى:</w:t>
      </w:r>
      <w:r w:rsidRPr="00393A1E">
        <w:rPr>
          <w:rFonts w:ascii="Traditional Arabic" w:eastAsia="Times New Roman" w:hAnsi="Traditional Arabic" w:cs="Traditional Arabic"/>
          <w:noProof/>
          <w:sz w:val="32"/>
          <w:szCs w:val="32"/>
          <w:rtl/>
          <w:lang w:eastAsia="ar-SA" w:bidi="ar-DZ"/>
        </w:rPr>
        <w:t xml:space="preserve"> تختار المؤسسة الأصول (الموجودات)</w:t>
      </w:r>
      <w:r>
        <w:rPr>
          <w:rFonts w:ascii="Traditional Arabic" w:eastAsia="Times New Roman" w:hAnsi="Traditional Arabic" w:cs="Traditional Arabic"/>
          <w:noProof/>
          <w:sz w:val="32"/>
          <w:szCs w:val="32"/>
          <w:rtl/>
          <w:lang w:eastAsia="ar-SA" w:bidi="ar-DZ"/>
        </w:rPr>
        <w:t xml:space="preserve"> التي تريد حذفها من ميزانيتها</w:t>
      </w:r>
      <w:r>
        <w:rPr>
          <w:rFonts w:ascii="Traditional Arabic" w:eastAsia="Times New Roman" w:hAnsi="Traditional Arabic" w:cs="Traditional Arabic" w:hint="cs"/>
          <w:noProof/>
          <w:sz w:val="32"/>
          <w:szCs w:val="32"/>
          <w:rtl/>
          <w:lang w:eastAsia="ar-SA" w:bidi="ar-DZ"/>
        </w:rPr>
        <w:t>،</w:t>
      </w:r>
      <w:r>
        <w:rPr>
          <w:rFonts w:ascii="Traditional Arabic" w:eastAsia="Times New Roman" w:hAnsi="Traditional Arabic" w:cs="Traditional Arabic"/>
          <w:noProof/>
          <w:sz w:val="32"/>
          <w:szCs w:val="32"/>
          <w:rtl/>
          <w:lang w:eastAsia="ar-SA" w:bidi="ar-DZ"/>
        </w:rPr>
        <w:t xml:space="preserve"> وتجم</w:t>
      </w:r>
      <w:r w:rsidRPr="00393A1E">
        <w:rPr>
          <w:rFonts w:ascii="Traditional Arabic" w:eastAsia="Times New Roman" w:hAnsi="Traditional Arabic" w:cs="Traditional Arabic"/>
          <w:noProof/>
          <w:sz w:val="32"/>
          <w:szCs w:val="32"/>
          <w:rtl/>
          <w:lang w:eastAsia="ar-SA" w:bidi="ar-DZ"/>
        </w:rPr>
        <w:t>عها في محفظة مرجعية (</w:t>
      </w:r>
      <w:r w:rsidRPr="00673D75">
        <w:rPr>
          <w:rFonts w:asciiTheme="majorBidi" w:eastAsia="Times New Roman" w:hAnsiTheme="majorBidi" w:cstheme="majorBidi"/>
          <w:noProof/>
          <w:sz w:val="24"/>
          <w:szCs w:val="24"/>
          <w:lang w:eastAsia="ar-SA" w:bidi="ar-DZ"/>
        </w:rPr>
        <w:t>portefeuille de référence</w:t>
      </w:r>
      <w:r w:rsidRPr="00393A1E">
        <w:rPr>
          <w:rFonts w:ascii="Traditional Arabic" w:eastAsia="Times New Roman" w:hAnsi="Traditional Arabic" w:cs="Traditional Arabic"/>
          <w:noProof/>
          <w:sz w:val="32"/>
          <w:szCs w:val="32"/>
          <w:rtl/>
          <w:lang w:eastAsia="ar-SA" w:bidi="ar-DZ"/>
        </w:rPr>
        <w:t>)</w:t>
      </w:r>
      <w:r>
        <w:rPr>
          <w:rFonts w:ascii="Traditional Arabic" w:eastAsia="Times New Roman" w:hAnsi="Traditional Arabic" w:cs="Traditional Arabic"/>
          <w:noProof/>
          <w:sz w:val="32"/>
          <w:szCs w:val="32"/>
          <w:rtl/>
          <w:lang w:eastAsia="ar-SA" w:bidi="ar-DZ"/>
        </w:rPr>
        <w:t>، علمًا أن هذه الأصول متشابهة ولها طبيعة غير سائلة</w:t>
      </w:r>
      <w:r>
        <w:rPr>
          <w:rFonts w:ascii="Traditional Arabic" w:eastAsia="Times New Roman" w:hAnsi="Traditional Arabic" w:cs="Traditional Arabic" w:hint="cs"/>
          <w:noProof/>
          <w:sz w:val="32"/>
          <w:szCs w:val="32"/>
          <w:rtl/>
          <w:lang w:eastAsia="ar-SA" w:bidi="ar-DZ"/>
        </w:rPr>
        <w:t>،</w:t>
      </w:r>
      <w:r>
        <w:rPr>
          <w:rFonts w:ascii="Traditional Arabic" w:eastAsia="Times New Roman" w:hAnsi="Traditional Arabic" w:cs="Traditional Arabic"/>
          <w:noProof/>
          <w:sz w:val="32"/>
          <w:szCs w:val="32"/>
          <w:rtl/>
          <w:lang w:eastAsia="ar-SA" w:bidi="ar-DZ"/>
        </w:rPr>
        <w:t xml:space="preserve"> تب</w:t>
      </w:r>
      <w:r>
        <w:rPr>
          <w:rFonts w:ascii="Traditional Arabic" w:eastAsia="Times New Roman" w:hAnsi="Traditional Arabic" w:cs="Traditional Arabic" w:hint="cs"/>
          <w:noProof/>
          <w:sz w:val="32"/>
          <w:szCs w:val="32"/>
          <w:rtl/>
          <w:lang w:eastAsia="ar-SA" w:bidi="ar-DZ"/>
        </w:rPr>
        <w:t>ا</w:t>
      </w:r>
      <w:r w:rsidRPr="00393A1E">
        <w:rPr>
          <w:rFonts w:ascii="Traditional Arabic" w:eastAsia="Times New Roman" w:hAnsi="Traditional Arabic" w:cs="Traditional Arabic"/>
          <w:noProof/>
          <w:sz w:val="32"/>
          <w:szCs w:val="32"/>
          <w:rtl/>
          <w:lang w:eastAsia="ar-SA" w:bidi="ar-DZ"/>
        </w:rPr>
        <w:t xml:space="preserve">ع فيما بعد إلى شركة ذات غرض خاص </w:t>
      </w:r>
      <w:r w:rsidRPr="00393A1E">
        <w:rPr>
          <w:rFonts w:ascii="Traditional Arabic" w:eastAsia="Times New Roman" w:hAnsi="Traditional Arabic" w:cs="Traditional Arabic"/>
          <w:noProof/>
          <w:sz w:val="32"/>
          <w:szCs w:val="32"/>
          <w:lang w:eastAsia="ar-SA" w:bidi="ar-DZ"/>
        </w:rPr>
        <w:t>(</w:t>
      </w:r>
      <w:r w:rsidRPr="00673D75">
        <w:rPr>
          <w:rFonts w:asciiTheme="majorBidi" w:eastAsia="Times New Roman" w:hAnsiTheme="majorBidi" w:cstheme="majorBidi"/>
          <w:noProof/>
          <w:sz w:val="24"/>
          <w:szCs w:val="24"/>
          <w:lang w:eastAsia="ar-SA" w:bidi="ar-DZ"/>
        </w:rPr>
        <w:t>entité à vocation spéciale</w:t>
      </w:r>
      <w:r w:rsidRPr="00393A1E">
        <w:rPr>
          <w:rFonts w:ascii="Traditional Arabic" w:eastAsia="Times New Roman" w:hAnsi="Traditional Arabic" w:cs="Traditional Arabic"/>
          <w:noProof/>
          <w:sz w:val="32"/>
          <w:szCs w:val="32"/>
          <w:lang w:eastAsia="ar-SA" w:bidi="ar-DZ"/>
        </w:rPr>
        <w:t>)</w:t>
      </w:r>
      <w:r w:rsidR="00D9582C">
        <w:rPr>
          <w:rFonts w:ascii="Traditional Arabic" w:eastAsia="Times New Roman" w:hAnsi="Traditional Arabic" w:cs="Traditional Arabic" w:hint="cs"/>
          <w:noProof/>
          <w:sz w:val="32"/>
          <w:szCs w:val="32"/>
          <w:rtl/>
          <w:lang w:eastAsia="ar-SA" w:bidi="ar-DZ"/>
        </w:rPr>
        <w:t>.</w:t>
      </w:r>
      <w:r>
        <w:rPr>
          <w:rFonts w:ascii="Traditional Arabic" w:eastAsia="Times New Roman" w:hAnsi="Traditional Arabic" w:cs="Traditional Arabic" w:hint="cs"/>
          <w:noProof/>
          <w:sz w:val="32"/>
          <w:szCs w:val="32"/>
          <w:rtl/>
          <w:lang w:eastAsia="ar-SA" w:bidi="ar-DZ"/>
        </w:rPr>
        <w:t xml:space="preserve">   </w:t>
      </w:r>
    </w:p>
    <w:p w:rsidR="00EF7BD4" w:rsidRPr="00393A1E" w:rsidRDefault="00EF7BD4" w:rsidP="00AF7DC6">
      <w:pPr>
        <w:bidi/>
        <w:spacing w:after="40"/>
        <w:jc w:val="both"/>
        <w:rPr>
          <w:rFonts w:ascii="Traditional Arabic" w:eastAsia="Times New Roman" w:hAnsi="Traditional Arabic" w:cs="Traditional Arabic"/>
          <w:noProof/>
          <w:sz w:val="32"/>
          <w:szCs w:val="32"/>
          <w:rtl/>
          <w:lang w:eastAsia="ar-SA" w:bidi="ar-DZ"/>
        </w:rPr>
      </w:pPr>
      <w:r w:rsidRPr="00393A1E">
        <w:rPr>
          <w:rFonts w:ascii="Traditional Arabic" w:eastAsia="Times New Roman" w:hAnsi="Traditional Arabic" w:cs="Traditional Arabic"/>
          <w:b/>
          <w:bCs/>
          <w:noProof/>
          <w:sz w:val="32"/>
          <w:szCs w:val="32"/>
          <w:rtl/>
          <w:lang w:eastAsia="ar-SA" w:bidi="ar-DZ"/>
        </w:rPr>
        <w:t>المرحلة الثانية:</w:t>
      </w:r>
      <w:r w:rsidRPr="00393A1E">
        <w:rPr>
          <w:rFonts w:ascii="Traditional Arabic" w:eastAsia="Times New Roman" w:hAnsi="Traditional Arabic" w:cs="Traditional Arabic"/>
          <w:noProof/>
          <w:sz w:val="32"/>
          <w:szCs w:val="32"/>
          <w:rtl/>
          <w:lang w:eastAsia="ar-SA" w:bidi="ar-DZ"/>
        </w:rPr>
        <w:t xml:space="preserve"> يتم تمويل حيازة هذه الأصول المجمعة عن طريق إصدار أوراق مالية قابلة للتداول </w:t>
      </w:r>
      <w:r w:rsidRPr="00393A1E">
        <w:rPr>
          <w:rFonts w:ascii="Traditional Arabic" w:eastAsia="Times New Roman" w:hAnsi="Traditional Arabic" w:cs="Traditional Arabic"/>
          <w:noProof/>
          <w:color w:val="000000"/>
          <w:sz w:val="32"/>
          <w:szCs w:val="32"/>
          <w:rtl/>
          <w:lang w:eastAsia="ar-SA" w:bidi="ar-DZ"/>
        </w:rPr>
        <w:t xml:space="preserve">بعينات </w:t>
      </w:r>
      <w:r>
        <w:rPr>
          <w:rFonts w:ascii="Traditional Arabic" w:eastAsia="Times New Roman" w:hAnsi="Traditional Arabic" w:cs="Traditional Arabic"/>
          <w:noProof/>
          <w:sz w:val="32"/>
          <w:szCs w:val="32"/>
          <w:rtl/>
          <w:lang w:eastAsia="ar-SA" w:bidi="ar-DZ"/>
        </w:rPr>
        <w:t>هذه الأصول، و</w:t>
      </w:r>
      <w:r w:rsidRPr="00393A1E">
        <w:rPr>
          <w:rFonts w:ascii="Traditional Arabic" w:eastAsia="Times New Roman" w:hAnsi="Traditional Arabic" w:cs="Traditional Arabic"/>
          <w:noProof/>
          <w:sz w:val="32"/>
          <w:szCs w:val="32"/>
          <w:rtl/>
          <w:lang w:eastAsia="ar-SA" w:bidi="ar-DZ"/>
        </w:rPr>
        <w:t xml:space="preserve">التي </w:t>
      </w:r>
      <w:r>
        <w:rPr>
          <w:rFonts w:ascii="Traditional Arabic" w:eastAsia="Times New Roman" w:hAnsi="Traditional Arabic" w:cs="Traditional Arabic" w:hint="cs"/>
          <w:noProof/>
          <w:sz w:val="32"/>
          <w:szCs w:val="32"/>
          <w:rtl/>
          <w:lang w:eastAsia="ar-SA" w:bidi="ar-DZ"/>
        </w:rPr>
        <w:t>تباع</w:t>
      </w:r>
      <w:r w:rsidRPr="00393A1E">
        <w:rPr>
          <w:rFonts w:ascii="Traditional Arabic" w:eastAsia="Times New Roman" w:hAnsi="Traditional Arabic" w:cs="Traditional Arabic"/>
          <w:noProof/>
          <w:sz w:val="32"/>
          <w:szCs w:val="32"/>
          <w:rtl/>
          <w:lang w:eastAsia="ar-SA" w:bidi="ar-DZ"/>
        </w:rPr>
        <w:t xml:space="preserve"> فيما بعد </w:t>
      </w:r>
      <w:r>
        <w:rPr>
          <w:rFonts w:ascii="Traditional Arabic" w:eastAsia="Times New Roman" w:hAnsi="Traditional Arabic" w:cs="Traditional Arabic" w:hint="cs"/>
          <w:noProof/>
          <w:sz w:val="32"/>
          <w:szCs w:val="32"/>
          <w:rtl/>
          <w:lang w:eastAsia="ar-SA" w:bidi="ar-DZ"/>
        </w:rPr>
        <w:t>إلى الم</w:t>
      </w:r>
      <w:r>
        <w:rPr>
          <w:rFonts w:ascii="Traditional Arabic" w:eastAsia="Times New Roman" w:hAnsi="Traditional Arabic" w:cs="Traditional Arabic"/>
          <w:noProof/>
          <w:sz w:val="32"/>
          <w:szCs w:val="32"/>
          <w:rtl/>
          <w:lang w:eastAsia="ar-SA" w:bidi="ar-DZ"/>
        </w:rPr>
        <w:t>ستثمرين في الأسواق المالية، و</w:t>
      </w:r>
      <w:r w:rsidRPr="00393A1E">
        <w:rPr>
          <w:rFonts w:ascii="Traditional Arabic" w:eastAsia="Times New Roman" w:hAnsi="Traditional Arabic" w:cs="Traditional Arabic"/>
          <w:noProof/>
          <w:sz w:val="32"/>
          <w:szCs w:val="32"/>
          <w:rtl/>
          <w:lang w:eastAsia="ar-SA" w:bidi="ar-DZ"/>
        </w:rPr>
        <w:t>يعود على المستثمر عائد ثابت أو متغير من حساب يتم تغذيته بالتدفقات النقدية المتولدة عن ا</w:t>
      </w:r>
      <w:r>
        <w:rPr>
          <w:rFonts w:ascii="Traditional Arabic" w:eastAsia="Times New Roman" w:hAnsi="Traditional Arabic" w:cs="Traditional Arabic"/>
          <w:noProof/>
          <w:sz w:val="32"/>
          <w:szCs w:val="32"/>
          <w:rtl/>
          <w:lang w:eastAsia="ar-SA" w:bidi="ar-DZ"/>
        </w:rPr>
        <w:t>لمحفظة المرجعية للأصول الأساسية</w:t>
      </w:r>
      <w:r>
        <w:rPr>
          <w:rFonts w:ascii="Traditional Arabic" w:eastAsia="Times New Roman" w:hAnsi="Traditional Arabic" w:cs="Traditional Arabic" w:hint="cs"/>
          <w:noProof/>
          <w:sz w:val="32"/>
          <w:szCs w:val="32"/>
          <w:rtl/>
          <w:lang w:eastAsia="ar-SA" w:bidi="ar-DZ"/>
        </w:rPr>
        <w:t>،</w:t>
      </w:r>
      <w:r w:rsidRPr="00393A1E">
        <w:rPr>
          <w:rFonts w:ascii="Traditional Arabic" w:eastAsia="Times New Roman" w:hAnsi="Traditional Arabic" w:cs="Traditional Arabic"/>
          <w:noProof/>
          <w:sz w:val="32"/>
          <w:szCs w:val="32"/>
          <w:rtl/>
          <w:lang w:eastAsia="ar-SA" w:bidi="ar-DZ"/>
        </w:rPr>
        <w:t xml:space="preserve"> وفي أغلب الأحيان </w:t>
      </w:r>
      <w:r w:rsidRPr="00393A1E">
        <w:rPr>
          <w:rFonts w:ascii="Traditional Arabic" w:eastAsia="Times New Roman" w:hAnsi="Traditional Arabic" w:cs="Traditional Arabic"/>
          <w:noProof/>
          <w:sz w:val="32"/>
          <w:szCs w:val="32"/>
          <w:rtl/>
          <w:lang w:eastAsia="ar-SA" w:bidi="ar-DZ"/>
        </w:rPr>
        <w:lastRenderedPageBreak/>
        <w:t xml:space="preserve">يضمن الدائن الأصلي خدمة محفظة القروض </w:t>
      </w:r>
      <w:r>
        <w:rPr>
          <w:rFonts w:ascii="Traditional Arabic" w:eastAsia="Times New Roman" w:hAnsi="Traditional Arabic" w:cs="Traditional Arabic" w:hint="cs"/>
          <w:noProof/>
          <w:sz w:val="32"/>
          <w:szCs w:val="32"/>
          <w:rtl/>
          <w:lang w:eastAsia="ar-SA" w:bidi="ar-DZ"/>
        </w:rPr>
        <w:t>ل</w:t>
      </w:r>
      <w:r w:rsidRPr="00393A1E">
        <w:rPr>
          <w:rFonts w:ascii="Traditional Arabic" w:eastAsia="Times New Roman" w:hAnsi="Traditional Arabic" w:cs="Traditional Arabic"/>
          <w:noProof/>
          <w:sz w:val="32"/>
          <w:szCs w:val="32"/>
          <w:rtl/>
          <w:lang w:eastAsia="ar-SA" w:bidi="ar-DZ"/>
        </w:rPr>
        <w:t xml:space="preserve">تحصيل المدفوعات من </w:t>
      </w:r>
      <w:r>
        <w:rPr>
          <w:rFonts w:ascii="Traditional Arabic" w:eastAsia="Times New Roman" w:hAnsi="Traditional Arabic" w:cs="Traditional Arabic" w:hint="cs"/>
          <w:noProof/>
          <w:sz w:val="32"/>
          <w:szCs w:val="32"/>
          <w:rtl/>
          <w:lang w:eastAsia="ar-SA" w:bidi="ar-DZ"/>
        </w:rPr>
        <w:t>ال</w:t>
      </w:r>
      <w:r w:rsidRPr="00393A1E">
        <w:rPr>
          <w:rFonts w:ascii="Traditional Arabic" w:eastAsia="Times New Roman" w:hAnsi="Traditional Arabic" w:cs="Traditional Arabic"/>
          <w:noProof/>
          <w:sz w:val="32"/>
          <w:szCs w:val="32"/>
          <w:rtl/>
          <w:lang w:eastAsia="ar-SA" w:bidi="ar-DZ"/>
        </w:rPr>
        <w:t>مقترضين الأص</w:t>
      </w:r>
      <w:r>
        <w:rPr>
          <w:rFonts w:ascii="Traditional Arabic" w:eastAsia="Times New Roman" w:hAnsi="Traditional Arabic" w:cs="Traditional Arabic"/>
          <w:noProof/>
          <w:sz w:val="32"/>
          <w:szCs w:val="32"/>
          <w:rtl/>
          <w:lang w:eastAsia="ar-SA" w:bidi="ar-DZ"/>
        </w:rPr>
        <w:t>ليين ونقلها مقابل عمولة، و</w:t>
      </w:r>
      <w:r w:rsidRPr="00393A1E">
        <w:rPr>
          <w:rFonts w:ascii="Traditional Arabic" w:eastAsia="Times New Roman" w:hAnsi="Traditional Arabic" w:cs="Traditional Arabic"/>
          <w:noProof/>
          <w:sz w:val="32"/>
          <w:szCs w:val="32"/>
          <w:rtl/>
          <w:lang w:eastAsia="ar-SA" w:bidi="ar-DZ"/>
        </w:rPr>
        <w:t xml:space="preserve">هكذا </w:t>
      </w:r>
      <w:r>
        <w:rPr>
          <w:rFonts w:ascii="Traditional Arabic" w:eastAsia="Times New Roman" w:hAnsi="Traditional Arabic" w:cs="Traditional Arabic"/>
          <w:noProof/>
          <w:sz w:val="32"/>
          <w:szCs w:val="32"/>
          <w:rtl/>
          <w:lang w:eastAsia="ar-SA" w:bidi="ar-DZ"/>
        </w:rPr>
        <w:t>تساهم في تحويل مخاطر الائتمان و</w:t>
      </w:r>
      <w:r w:rsidRPr="00393A1E">
        <w:rPr>
          <w:rFonts w:ascii="Traditional Arabic" w:eastAsia="Times New Roman" w:hAnsi="Traditional Arabic" w:cs="Traditional Arabic"/>
          <w:noProof/>
          <w:sz w:val="32"/>
          <w:szCs w:val="32"/>
          <w:rtl/>
          <w:lang w:eastAsia="ar-SA" w:bidi="ar-DZ"/>
        </w:rPr>
        <w:t>سعر الفائدة وتقلبات العملة من الدائن الأصلي إلى المستثمر.</w:t>
      </w:r>
      <w:r>
        <w:rPr>
          <w:rFonts w:ascii="Traditional Arabic" w:eastAsia="Times New Roman" w:hAnsi="Traditional Arabic" w:cs="Traditional Arabic" w:hint="cs"/>
          <w:noProof/>
          <w:sz w:val="32"/>
          <w:szCs w:val="32"/>
          <w:rtl/>
          <w:lang w:eastAsia="ar-SA" w:bidi="ar-DZ"/>
        </w:rPr>
        <w:t xml:space="preserve"> </w:t>
      </w:r>
    </w:p>
    <w:p w:rsidR="00EF7BD4" w:rsidRPr="00B67E70" w:rsidRDefault="00EF7BD4" w:rsidP="00B67E70">
      <w:pPr>
        <w:tabs>
          <w:tab w:val="left" w:pos="1571"/>
          <w:tab w:val="center" w:pos="4535"/>
        </w:tabs>
        <w:bidi/>
        <w:spacing w:after="40"/>
        <w:rPr>
          <w:rFonts w:ascii="Traditional Arabic" w:eastAsia="Times New Roman" w:hAnsi="Traditional Arabic" w:cs="Traditional Arabic"/>
          <w:noProof/>
          <w:sz w:val="32"/>
          <w:szCs w:val="32"/>
          <w:rtl/>
          <w:lang w:eastAsia="ar-SA" w:bidi="ar-DZ"/>
        </w:rPr>
      </w:pPr>
      <w:r w:rsidRPr="00B67E70">
        <w:rPr>
          <w:rFonts w:ascii="Traditional Arabic" w:eastAsia="Times New Roman" w:hAnsi="Traditional Arabic" w:cs="Traditional Arabic"/>
          <w:noProof/>
          <w:sz w:val="32"/>
          <w:szCs w:val="32"/>
          <w:rtl/>
          <w:lang w:eastAsia="ar-SA" w:bidi="ar-DZ"/>
        </w:rPr>
        <w:tab/>
      </w:r>
      <w:r w:rsidRPr="00B67E70">
        <w:rPr>
          <w:rFonts w:ascii="Traditional Arabic" w:eastAsia="Times New Roman" w:hAnsi="Traditional Arabic" w:cs="Traditional Arabic"/>
          <w:noProof/>
          <w:sz w:val="32"/>
          <w:szCs w:val="32"/>
          <w:rtl/>
          <w:lang w:eastAsia="ar-SA" w:bidi="ar-DZ"/>
        </w:rPr>
        <w:tab/>
        <w:t>الشكل  رقم</w:t>
      </w:r>
      <w:r w:rsidRPr="00B67E70">
        <w:rPr>
          <w:rFonts w:ascii="Traditional Arabic" w:eastAsia="Times New Roman" w:hAnsi="Traditional Arabic" w:cs="Traditional Arabic" w:hint="cs"/>
          <w:noProof/>
          <w:sz w:val="28"/>
          <w:szCs w:val="28"/>
          <w:rtl/>
          <w:lang w:eastAsia="ar-SA" w:bidi="ar-DZ"/>
        </w:rPr>
        <w:t xml:space="preserve"> </w:t>
      </w:r>
      <w:r w:rsidR="00B67E70" w:rsidRPr="00B67E70">
        <w:rPr>
          <w:rFonts w:ascii="Traditional Arabic" w:eastAsia="Times New Roman" w:hAnsi="Traditional Arabic" w:cs="Traditional Arabic" w:hint="cs"/>
          <w:noProof/>
          <w:sz w:val="24"/>
          <w:szCs w:val="24"/>
          <w:rtl/>
          <w:lang w:eastAsia="ar-SA" w:bidi="ar-DZ"/>
        </w:rPr>
        <w:t>16</w:t>
      </w:r>
      <w:r w:rsidRPr="00B67E70">
        <w:rPr>
          <w:rFonts w:ascii="Traditional Arabic" w:eastAsia="Times New Roman" w:hAnsi="Traditional Arabic" w:cs="Traditional Arabic" w:hint="cs"/>
          <w:noProof/>
          <w:sz w:val="24"/>
          <w:szCs w:val="24"/>
          <w:rtl/>
          <w:lang w:eastAsia="ar-SA" w:bidi="ar-DZ"/>
        </w:rPr>
        <w:t xml:space="preserve"> </w:t>
      </w:r>
      <w:r w:rsidRPr="00B67E70">
        <w:rPr>
          <w:rFonts w:ascii="Traditional Arabic" w:eastAsia="Times New Roman" w:hAnsi="Traditional Arabic" w:cs="Traditional Arabic"/>
          <w:noProof/>
          <w:sz w:val="32"/>
          <w:szCs w:val="32"/>
          <w:rtl/>
          <w:lang w:eastAsia="ar-SA" w:bidi="ar-DZ"/>
        </w:rPr>
        <w:t>: آلية تنفيذ عمليات التوريق</w:t>
      </w:r>
      <w:r w:rsidR="00B67E70">
        <w:rPr>
          <w:rFonts w:ascii="Traditional Arabic" w:eastAsia="Times New Roman" w:hAnsi="Traditional Arabic" w:cs="Traditional Arabic" w:hint="cs"/>
          <w:noProof/>
          <w:sz w:val="32"/>
          <w:szCs w:val="32"/>
          <w:rtl/>
          <w:lang w:eastAsia="ar-SA" w:bidi="ar-DZ"/>
        </w:rPr>
        <w:t xml:space="preserve"> </w: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b/>
          <w:bCs/>
          <w:noProof/>
          <w:sz w:val="28"/>
          <w:szCs w:val="28"/>
          <w:rtl/>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0;text-align:left;margin-left:282.55pt;margin-top:16.15pt;width:96.85pt;height:61.1pt;z-index:251616256">
            <w10:wrap anchorx="page"/>
          </v:shape>
        </w:pict>
      </w:r>
      <w:r w:rsidRPr="00745183">
        <w:rPr>
          <w:rFonts w:ascii="Times New Roman" w:eastAsia="Times New Roman" w:hAnsi="Times New Roman" w:cs="Simplified Arabic"/>
          <w:b/>
          <w:bCs/>
          <w:noProof/>
          <w:sz w:val="28"/>
          <w:szCs w:val="28"/>
          <w:rtl/>
          <w:lang w:val="en-US"/>
        </w:rPr>
        <w:pict>
          <v:rect id="_x0000_s1029" style="position:absolute;left:0;text-align:left;margin-left:371.15pt;margin-top:5.85pt;width:87.3pt;height:76.15pt;z-index:251617280">
            <v:textbox style="mso-next-textbox:#_x0000_s1029">
              <w:txbxContent>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المستثمرون في</w:t>
                  </w:r>
                </w:p>
                <w:p w:rsidR="00205648" w:rsidRPr="00393A1E" w:rsidRDefault="00205648" w:rsidP="00EF7BD4">
                  <w:pPr>
                    <w:spacing w:after="0" w:line="240" w:lineRule="auto"/>
                    <w:jc w:val="center"/>
                    <w:rPr>
                      <w:rFonts w:ascii="Traditional Arabic" w:hAnsi="Traditional Arabic" w:cs="Traditional Arabic"/>
                    </w:rPr>
                  </w:pPr>
                  <w:r w:rsidRPr="00393A1E">
                    <w:rPr>
                      <w:rFonts w:ascii="Traditional Arabic" w:hAnsi="Traditional Arabic" w:cs="Traditional Arabic"/>
                      <w:sz w:val="28"/>
                      <w:szCs w:val="28"/>
                      <w:rtl/>
                    </w:rPr>
                    <w:t>سوق المال</w:t>
                  </w:r>
                </w:p>
              </w:txbxContent>
            </v:textbox>
            <w10:wrap anchorx="page"/>
          </v:rect>
        </w:pict>
      </w:r>
      <w:r w:rsidRPr="00745183">
        <w:rPr>
          <w:rFonts w:ascii="Times New Roman" w:eastAsia="Times New Roman" w:hAnsi="Times New Roman" w:cs="Simplified Arabic"/>
          <w:b/>
          <w:bCs/>
          <w:noProof/>
          <w:sz w:val="28"/>
          <w:szCs w:val="28"/>
          <w:rtl/>
          <w:lang w:val="en-US"/>
        </w:rPr>
        <w:pict>
          <v:shape id="_x0000_s1030" type="#_x0000_t13" style="position:absolute;left:0;text-align:left;margin-left:112.65pt;margin-top:16.15pt;width:95.75pt;height:61.1pt;z-index:251618304">
            <w10:wrap anchorx="page"/>
          </v:shape>
        </w:pict>
      </w:r>
      <w:r w:rsidRPr="00745183">
        <w:rPr>
          <w:rFonts w:ascii="Times New Roman" w:eastAsia="Times New Roman" w:hAnsi="Times New Roman" w:cs="Simplified Arabic"/>
          <w:b/>
          <w:bCs/>
          <w:noProof/>
          <w:sz w:val="28"/>
          <w:szCs w:val="28"/>
          <w:rtl/>
          <w:lang w:val="en-US"/>
        </w:rPr>
        <w:pict>
          <v:rect id="_x0000_s1028" style="position:absolute;left:0;text-align:left;margin-left:201.7pt;margin-top:9.3pt;width:87.3pt;height:76.15pt;z-index:251619328">
            <v:textbox style="mso-next-textbox:#_x0000_s1028">
              <w:txbxContent>
                <w:p w:rsidR="00205648" w:rsidRPr="00393A1E" w:rsidRDefault="00205648" w:rsidP="00EF7BD4">
                  <w:pPr>
                    <w:spacing w:after="0" w:line="240" w:lineRule="auto"/>
                    <w:jc w:val="center"/>
                    <w:rPr>
                      <w:rFonts w:ascii="Traditional Arabic" w:hAnsi="Traditional Arabic" w:cs="Traditional Arabic"/>
                      <w:sz w:val="28"/>
                      <w:szCs w:val="28"/>
                    </w:rPr>
                  </w:pPr>
                  <w:r w:rsidRPr="00393A1E">
                    <w:rPr>
                      <w:rFonts w:ascii="Traditional Arabic" w:hAnsi="Traditional Arabic" w:cs="Traditional Arabic"/>
                      <w:sz w:val="28"/>
                      <w:szCs w:val="28"/>
                      <w:rtl/>
                    </w:rPr>
                    <w:t>شركة مصدرة للتوريق مثلا شركة ذات غرض خاص</w:t>
                  </w:r>
                </w:p>
              </w:txbxContent>
            </v:textbox>
            <w10:wrap anchorx="page"/>
          </v:rect>
        </w:pict>
      </w:r>
      <w:r w:rsidRPr="00745183">
        <w:rPr>
          <w:rFonts w:ascii="Times New Roman" w:eastAsia="Times New Roman" w:hAnsi="Times New Roman" w:cs="Simplified Arabic"/>
          <w:b/>
          <w:bCs/>
          <w:noProof/>
          <w:sz w:val="28"/>
          <w:szCs w:val="28"/>
          <w:rtl/>
          <w:lang w:val="en-US"/>
        </w:rPr>
        <w:pict>
          <v:rect id="_x0000_s1026" style="position:absolute;left:0;text-align:left;margin-left:29.85pt;margin-top:9.3pt;width:87.3pt;height:76.15pt;z-index:251620352">
            <v:textbox style="mso-next-textbox:#_x0000_s1026">
              <w:txbxContent>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الدائن</w:t>
                  </w:r>
                </w:p>
                <w:p w:rsidR="00205648" w:rsidRPr="00393A1E" w:rsidRDefault="00205648" w:rsidP="00EF7BD4">
                  <w:pPr>
                    <w:spacing w:after="0" w:line="240" w:lineRule="auto"/>
                    <w:jc w:val="center"/>
                    <w:rPr>
                      <w:rFonts w:ascii="Traditional Arabic" w:hAnsi="Traditional Arabic" w:cs="Traditional Arabic"/>
                      <w:sz w:val="28"/>
                      <w:szCs w:val="28"/>
                    </w:rPr>
                  </w:pPr>
                  <w:r w:rsidRPr="00393A1E">
                    <w:rPr>
                      <w:rFonts w:ascii="Traditional Arabic" w:hAnsi="Traditional Arabic" w:cs="Traditional Arabic"/>
                      <w:sz w:val="28"/>
                      <w:szCs w:val="28"/>
                      <w:rtl/>
                    </w:rPr>
                    <w:t xml:space="preserve"> الأصلي</w:t>
                  </w:r>
                </w:p>
              </w:txbxContent>
            </v:textbox>
            <w10:wrap anchorx="page"/>
          </v:rect>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shapetype id="_x0000_t32" coordsize="21600,21600" o:spt="32" o:oned="t" path="m,l21600,21600e" filled="f">
            <v:path arrowok="t" fillok="f" o:connecttype="none"/>
            <o:lock v:ext="edit" shapetype="t"/>
          </v:shapetype>
          <v:shape id="_x0000_s1041" type="#_x0000_t32" style="position:absolute;left:0;text-align:left;margin-left:18pt;margin-top:8.7pt;width:0;height:208.9pt;z-index:251621376" o:connectortype="straight">
            <v:stroke dashstyle="dash"/>
            <w10:wrap anchorx="page"/>
          </v:shape>
        </w:pict>
      </w:r>
      <w:r w:rsidRPr="00745183">
        <w:rPr>
          <w:rFonts w:ascii="Times New Roman" w:eastAsia="Times New Roman" w:hAnsi="Times New Roman" w:cs="Simplified Arabic"/>
          <w:noProof/>
          <w:sz w:val="28"/>
          <w:szCs w:val="28"/>
          <w:rtl/>
          <w:lang w:val="en-US"/>
        </w:rPr>
        <w:pict>
          <v:oval id="_x0000_s1032" style="position:absolute;left:0;text-align:left;margin-left:141.8pt;margin-top:2.55pt;width:19.2pt;height:25.25pt;z-index:251622400">
            <v:textbox style="mso-next-textbox:#_x0000_s1032">
              <w:txbxContent>
                <w:p w:rsidR="00205648" w:rsidRPr="005756D9" w:rsidRDefault="00205648" w:rsidP="00EF7BD4">
                  <w:r w:rsidRPr="005756D9">
                    <w:rPr>
                      <w:rFonts w:hint="cs"/>
                      <w:rtl/>
                    </w:rPr>
                    <w:t>1</w:t>
                  </w:r>
                </w:p>
              </w:txbxContent>
            </v:textbox>
            <w10:wrap anchorx="page"/>
          </v:oval>
        </w:pict>
      </w:r>
      <w:r w:rsidRPr="00745183">
        <w:rPr>
          <w:rFonts w:ascii="Times New Roman" w:eastAsia="Times New Roman" w:hAnsi="Times New Roman" w:cs="Simplified Arabic"/>
          <w:noProof/>
          <w:sz w:val="28"/>
          <w:szCs w:val="28"/>
          <w:rtl/>
          <w:lang w:val="en-US"/>
        </w:rPr>
        <w:pict>
          <v:shape id="_x0000_s1040" type="#_x0000_t32" style="position:absolute;left:0;text-align:left;margin-left:18pt;margin-top:8.7pt;width:11.85pt;height:0;z-index:251623424" o:connectortype="straight">
            <v:stroke dashstyle="dash" endarrow="block"/>
            <w10:wrap anchorx="page"/>
          </v:shape>
        </w:pict>
      </w:r>
      <w:r w:rsidRPr="00745183">
        <w:rPr>
          <w:rFonts w:ascii="Times New Roman" w:eastAsia="Times New Roman" w:hAnsi="Times New Roman" w:cs="Simplified Arabic"/>
          <w:noProof/>
          <w:sz w:val="28"/>
          <w:szCs w:val="28"/>
          <w:rtl/>
          <w:lang w:val="en-US"/>
        </w:rPr>
        <w:pict>
          <v:oval id="_x0000_s1033" style="position:absolute;left:0;text-align:left;margin-left:309.4pt;margin-top:2.55pt;width:19.2pt;height:29.45pt;z-index:251624448">
            <v:textbox style="mso-next-textbox:#_x0000_s1033">
              <w:txbxContent>
                <w:p w:rsidR="00205648" w:rsidRPr="005756D9" w:rsidRDefault="00205648" w:rsidP="00EF7BD4">
                  <w:r>
                    <w:rPr>
                      <w:rFonts w:hint="cs"/>
                      <w:rtl/>
                    </w:rPr>
                    <w:t>2</w:t>
                  </w:r>
                </w:p>
              </w:txbxContent>
            </v:textbox>
            <w10:wrap anchorx="page"/>
          </v:oval>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rect id="_x0000_s1034" style="position:absolute;left:0;text-align:left;margin-left:371.15pt;margin-top:12.1pt;width:87.3pt;height:150.5pt;z-index:251625472">
            <v:textbox style="mso-next-textbox:#_x0000_s1034">
              <w:txbxContent>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إصدار أوراق مالية مقسمة حسب</w:t>
                  </w:r>
                </w:p>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التصنيف الدولي</w:t>
                  </w:r>
                </w:p>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إلى شرائح ذات</w:t>
                  </w:r>
                </w:p>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مراتب أعلى</w:t>
                  </w:r>
                </w:p>
                <w:p w:rsidR="00205648" w:rsidRPr="00393A1E" w:rsidRDefault="00205648" w:rsidP="00EF7BD4">
                  <w:pPr>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مراتب متوسطة</w:t>
                  </w:r>
                </w:p>
                <w:p w:rsidR="00205648" w:rsidRPr="00393A1E" w:rsidRDefault="00205648" w:rsidP="00EF7BD4">
                  <w:pPr>
                    <w:spacing w:after="0" w:line="240" w:lineRule="auto"/>
                    <w:jc w:val="center"/>
                    <w:rPr>
                      <w:rFonts w:ascii="Traditional Arabic" w:hAnsi="Traditional Arabic" w:cs="Traditional Arabic"/>
                      <w:sz w:val="28"/>
                      <w:szCs w:val="28"/>
                    </w:rPr>
                  </w:pPr>
                  <w:r w:rsidRPr="00393A1E">
                    <w:rPr>
                      <w:rFonts w:ascii="Traditional Arabic" w:hAnsi="Traditional Arabic" w:cs="Traditional Arabic"/>
                      <w:sz w:val="28"/>
                      <w:szCs w:val="28"/>
                      <w:rtl/>
                    </w:rPr>
                    <w:t>مراتب أدنى</w:t>
                  </w:r>
                </w:p>
              </w:txbxContent>
            </v:textbox>
            <w10:wrap anchorx="page"/>
          </v:rect>
        </w:pict>
      </w:r>
      <w:r>
        <w:rPr>
          <w:rFonts w:ascii="Times New Roman" w:eastAsia="Times New Roman" w:hAnsi="Times New Roman" w:cs="Simplified Arabic"/>
          <w:noProof/>
          <w:sz w:val="28"/>
          <w:szCs w:val="28"/>
          <w:rtl/>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5" type="#_x0000_t68" style="position:absolute;left:0;text-align:left;margin-left:304.9pt;margin-top:19.9pt;width:28.8pt;height:45.6pt;z-index:251626496">
            <v:textbox style="layout-flow:vertical-ideographic"/>
          </v:shape>
        </w:pict>
      </w:r>
      <w:r>
        <w:rPr>
          <w:rFonts w:ascii="Times New Roman" w:eastAsia="Times New Roman" w:hAnsi="Times New Roman" w:cs="Simplified Arabic"/>
          <w:noProof/>
          <w:sz w:val="28"/>
          <w:szCs w:val="28"/>
          <w:rtl/>
        </w:rPr>
        <w:pict>
          <v:shape id="_x0000_s1044" type="#_x0000_t68" style="position:absolute;left:0;text-align:left;margin-left:145.15pt;margin-top:19.9pt;width:28.8pt;height:45.6pt;z-index:251627520">
            <v:textbox style="layout-flow:vertical-ideographic"/>
          </v:shape>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rect id="_x0000_s1027" style="position:absolute;left:0;text-align:left;margin-left:29.85pt;margin-top:5.55pt;width:73pt;height:128.35pt;z-index:251628544">
            <v:textbox style="mso-next-textbox:#_x0000_s1027">
              <w:txbxContent>
                <w:p w:rsidR="00205648" w:rsidRPr="00393A1E" w:rsidRDefault="00205648" w:rsidP="00EF7BD4">
                  <w:pPr>
                    <w:bidi/>
                    <w:spacing w:after="0" w:line="240" w:lineRule="auto"/>
                    <w:jc w:val="center"/>
                    <w:rPr>
                      <w:rFonts w:ascii="Traditional Arabic" w:hAnsi="Traditional Arabic" w:cs="Traditional Arabic"/>
                      <w:sz w:val="28"/>
                      <w:szCs w:val="28"/>
                      <w:rtl/>
                    </w:rPr>
                  </w:pPr>
                  <w:r w:rsidRPr="00393A1E">
                    <w:rPr>
                      <w:rFonts w:ascii="Traditional Arabic" w:hAnsi="Traditional Arabic" w:cs="Traditional Arabic"/>
                      <w:sz w:val="28"/>
                      <w:szCs w:val="28"/>
                      <w:rtl/>
                    </w:rPr>
                    <w:t>تجميع</w:t>
                  </w:r>
                </w:p>
                <w:p w:rsidR="00205648" w:rsidRPr="00393A1E" w:rsidRDefault="00205648" w:rsidP="00EF7BD4">
                  <w:pPr>
                    <w:bidi/>
                    <w:spacing w:after="0" w:line="240" w:lineRule="auto"/>
                    <w:jc w:val="center"/>
                    <w:rPr>
                      <w:rFonts w:ascii="Traditional Arabic" w:hAnsi="Traditional Arabic" w:cs="Traditional Arabic"/>
                      <w:sz w:val="28"/>
                      <w:szCs w:val="28"/>
                    </w:rPr>
                  </w:pPr>
                  <w:r w:rsidRPr="00393A1E">
                    <w:rPr>
                      <w:rFonts w:ascii="Traditional Arabic" w:hAnsi="Traditional Arabic" w:cs="Traditional Arabic"/>
                      <w:sz w:val="28"/>
                      <w:szCs w:val="28"/>
                      <w:rtl/>
                    </w:rPr>
                    <w:t>الأصول الأساسية في المحفظة المرجعية المضمونة</w:t>
                  </w:r>
                </w:p>
              </w:txbxContent>
            </v:textbox>
            <w10:wrap anchorx="page"/>
          </v:rect>
        </w:pict>
      </w:r>
      <w:r w:rsidR="00EF7BD4" w:rsidRPr="00F15C99">
        <w:rPr>
          <w:rFonts w:ascii="Times New Roman" w:eastAsia="Times New Roman" w:hAnsi="Times New Roman" w:cs="Simplified Arabic" w:hint="cs"/>
          <w:noProof/>
          <w:sz w:val="28"/>
          <w:szCs w:val="28"/>
          <w:rtl/>
          <w:lang w:eastAsia="ar-SA" w:bidi="ar-DZ"/>
        </w:rPr>
        <w:t>ذ</w: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rect id="_x0000_s1039" style="position:absolute;left:0;text-align:left;margin-left:109.55pt;margin-top:17.1pt;width:115.45pt;height:107.45pt;z-index:251629568" stroked="f">
            <v:textbox style="mso-next-textbox:#_x0000_s1039">
              <w:txbxContent>
                <w:p w:rsidR="00205648" w:rsidRPr="00393A1E" w:rsidRDefault="00205648" w:rsidP="00EF7BD4">
                  <w:pPr>
                    <w:bidi/>
                    <w:spacing w:after="0" w:line="240" w:lineRule="auto"/>
                    <w:jc w:val="both"/>
                    <w:rPr>
                      <w:rFonts w:ascii="Traditional Arabic" w:hAnsi="Traditional Arabic" w:cs="Traditional Arabic"/>
                      <w:sz w:val="28"/>
                      <w:szCs w:val="28"/>
                      <w:rtl/>
                    </w:rPr>
                  </w:pPr>
                  <w:r w:rsidRPr="00393A1E">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أصول </w:t>
                  </w:r>
                  <w:r w:rsidRPr="00393A1E">
                    <w:rPr>
                      <w:rFonts w:ascii="Traditional Arabic" w:hAnsi="Traditional Arabic" w:cs="Traditional Arabic"/>
                      <w:sz w:val="28"/>
                      <w:szCs w:val="28"/>
                      <w:rtl/>
                    </w:rPr>
                    <w:t>محصنة ضد إفلاس البائع</w:t>
                  </w:r>
                  <w:r>
                    <w:rPr>
                      <w:rFonts w:ascii="Traditional Arabic" w:hAnsi="Traditional Arabic" w:cs="Traditional Arabic" w:hint="cs"/>
                      <w:sz w:val="28"/>
                      <w:szCs w:val="28"/>
                      <w:rtl/>
                    </w:rPr>
                    <w:t>.</w:t>
                  </w:r>
                </w:p>
                <w:p w:rsidR="00205648" w:rsidRPr="00393A1E" w:rsidRDefault="00205648" w:rsidP="00EF7BD4">
                  <w:pPr>
                    <w:bidi/>
                    <w:spacing w:after="0" w:line="240" w:lineRule="auto"/>
                    <w:jc w:val="both"/>
                    <w:rPr>
                      <w:rFonts w:ascii="Traditional Arabic" w:hAnsi="Traditional Arabic" w:cs="Traditional Arabic"/>
                      <w:sz w:val="28"/>
                      <w:szCs w:val="28"/>
                    </w:rPr>
                  </w:pPr>
                  <w:r w:rsidRPr="00393A1E">
                    <w:rPr>
                      <w:rFonts w:ascii="Traditional Arabic" w:hAnsi="Traditional Arabic" w:cs="Traditional Arabic"/>
                      <w:sz w:val="28"/>
                      <w:szCs w:val="28"/>
                      <w:rtl/>
                    </w:rPr>
                    <w:t>* لا يحتفظ الدائن الأصلي بأية روابط قانونية متعلقة بهذه الأصول</w:t>
                  </w:r>
                  <w:r>
                    <w:rPr>
                      <w:rFonts w:ascii="Traditional Arabic" w:hAnsi="Traditional Arabic" w:cs="Traditional Arabic" w:hint="cs"/>
                      <w:sz w:val="28"/>
                      <w:szCs w:val="28"/>
                      <w:rtl/>
                    </w:rPr>
                    <w:t>.</w:t>
                  </w:r>
                </w:p>
              </w:txbxContent>
            </v:textbox>
            <w10:wrap anchorx="page"/>
          </v:rect>
        </w:pict>
      </w:r>
      <w:r w:rsidRPr="00745183">
        <w:rPr>
          <w:rFonts w:ascii="Times New Roman" w:eastAsia="Times New Roman" w:hAnsi="Times New Roman" w:cs="Simplified Arabic"/>
          <w:noProof/>
          <w:sz w:val="28"/>
          <w:szCs w:val="28"/>
          <w:rtl/>
          <w:lang w:val="en-US"/>
        </w:rPr>
        <w:pict>
          <v:rect id="_x0000_s1038" style="position:absolute;left:0;text-align:left;margin-left:272.4pt;margin-top:20.15pt;width:95pt;height:111.35pt;z-index:251630592" stroked="f">
            <v:textbox style="mso-next-textbox:#_x0000_s1038">
              <w:txbxContent>
                <w:p w:rsidR="00205648" w:rsidRPr="00393A1E" w:rsidRDefault="00205648" w:rsidP="00EF7BD4">
                  <w:pPr>
                    <w:bidi/>
                    <w:spacing w:after="0" w:line="240" w:lineRule="auto"/>
                    <w:jc w:val="lowKashida"/>
                    <w:rPr>
                      <w:rFonts w:ascii="Traditional Arabic" w:hAnsi="Traditional Arabic" w:cs="Traditional Arabic"/>
                      <w:sz w:val="28"/>
                      <w:szCs w:val="28"/>
                    </w:rPr>
                  </w:pPr>
                  <w:r w:rsidRPr="00393A1E">
                    <w:rPr>
                      <w:rFonts w:ascii="Traditional Arabic" w:hAnsi="Traditional Arabic" w:cs="Traditional Arabic"/>
                      <w:sz w:val="28"/>
                      <w:szCs w:val="28"/>
                      <w:rtl/>
                    </w:rPr>
                    <w:t>يتم تقسيم هذه ال</w:t>
                  </w:r>
                  <w:r>
                    <w:rPr>
                      <w:rFonts w:ascii="Traditional Arabic" w:hAnsi="Traditional Arabic" w:cs="Traditional Arabic"/>
                      <w:sz w:val="28"/>
                      <w:szCs w:val="28"/>
                      <w:rtl/>
                    </w:rPr>
                    <w:t xml:space="preserve">أصول إلى شرائح </w:t>
                  </w:r>
                  <w:r>
                    <w:rPr>
                      <w:rFonts w:ascii="Traditional Arabic" w:hAnsi="Traditional Arabic" w:cs="Traditional Arabic" w:hint="cs"/>
                      <w:sz w:val="28"/>
                      <w:szCs w:val="28"/>
                      <w:rtl/>
                    </w:rPr>
                    <w:t>من طرف وكالة أو عدة وكالات تصنيف.</w:t>
                  </w:r>
                </w:p>
              </w:txbxContent>
            </v:textbox>
            <w10:wrap anchorx="page"/>
          </v:rect>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shape id="_x0000_s1037" type="#_x0000_t32" style="position:absolute;left:0;text-align:left;margin-left:371.15pt;margin-top:12.6pt;width:88.6pt;height:0;z-index:251631616" o:connectortype="straight">
            <v:stroke dashstyle="dash"/>
            <w10:wrap anchorx="page"/>
          </v:shape>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shape id="_x0000_s1035" type="#_x0000_t32" style="position:absolute;left:0;text-align:left;margin-left:371.15pt;margin-top:27.75pt;width:88.6pt;height:0;z-index:251632640" o:connectortype="straight">
            <v:stroke dashstyle="dash"/>
            <w10:wrap anchorx="page"/>
          </v:shape>
        </w:pict>
      </w:r>
      <w:r w:rsidRPr="00745183">
        <w:rPr>
          <w:rFonts w:ascii="Times New Roman" w:eastAsia="Times New Roman" w:hAnsi="Times New Roman" w:cs="Simplified Arabic"/>
          <w:noProof/>
          <w:sz w:val="28"/>
          <w:szCs w:val="28"/>
          <w:rtl/>
          <w:lang w:val="en-US"/>
        </w:rPr>
        <w:pict>
          <v:shape id="_x0000_s1036" type="#_x0000_t32" style="position:absolute;left:0;text-align:left;margin-left:371.15pt;margin-top:5.85pt;width:88.6pt;height:0;z-index:251633664" o:connectortype="straight">
            <v:stroke dashstyle="dash"/>
            <w10:wrap anchorx="page"/>
          </v:shape>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shape id="_x0000_s1043" type="#_x0000_t32" style="position:absolute;left:0;text-align:left;margin-left:422.8pt;margin-top:19.15pt;width:.05pt;height:26.3pt;flip:y;z-index:251634688" o:connectortype="straight">
            <v:stroke dashstyle="dash"/>
            <w10:wrap anchorx="page"/>
          </v:shape>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sidRPr="00745183">
        <w:rPr>
          <w:rFonts w:ascii="Times New Roman" w:eastAsia="Times New Roman" w:hAnsi="Times New Roman" w:cs="Simplified Arabic"/>
          <w:noProof/>
          <w:sz w:val="28"/>
          <w:szCs w:val="28"/>
          <w:rtl/>
          <w:lang w:val="en-US"/>
        </w:rPr>
        <w:pict>
          <v:shape id="_x0000_s1042" type="#_x0000_t32" style="position:absolute;left:0;text-align:left;margin-left:18pt;margin-top:16.75pt;width:404.8pt;height:0;z-index:251635712" o:connectortype="straight">
            <v:stroke dashstyle="dash"/>
            <w10:wrap anchorx="page"/>
          </v:shape>
        </w:pict>
      </w:r>
    </w:p>
    <w:p w:rsidR="00EF7BD4" w:rsidRPr="00860208" w:rsidRDefault="002925FD" w:rsidP="002925FD">
      <w:pPr>
        <w:spacing w:after="40"/>
        <w:rPr>
          <w:rFonts w:asciiTheme="majorBidi" w:hAnsiTheme="majorBidi" w:cstheme="majorBidi"/>
          <w:sz w:val="20"/>
          <w:szCs w:val="20"/>
          <w:rtl/>
        </w:rPr>
      </w:pPr>
      <w:r>
        <w:rPr>
          <w:rFonts w:asciiTheme="majorBidi" w:hAnsiTheme="majorBidi" w:cstheme="majorBidi"/>
          <w:sz w:val="20"/>
          <w:szCs w:val="20"/>
        </w:rPr>
        <w:t xml:space="preserve"> </w:t>
      </w:r>
      <w:r w:rsidR="00EF7BD4" w:rsidRPr="00360395">
        <w:rPr>
          <w:rFonts w:asciiTheme="majorBidi" w:hAnsiTheme="majorBidi" w:cstheme="majorBidi"/>
          <w:sz w:val="20"/>
          <w:szCs w:val="20"/>
        </w:rPr>
        <w:t xml:space="preserve">Source : </w:t>
      </w:r>
      <w:r w:rsidR="00EF7BD4">
        <w:rPr>
          <w:rFonts w:asciiTheme="majorBidi" w:hAnsiTheme="majorBidi" w:cstheme="majorBidi"/>
          <w:sz w:val="20"/>
          <w:szCs w:val="20"/>
        </w:rPr>
        <w:t xml:space="preserve">Jobst Andreas: </w:t>
      </w:r>
      <w:r w:rsidR="00EF7BD4" w:rsidRPr="00360395">
        <w:rPr>
          <w:rFonts w:asciiTheme="majorBidi" w:hAnsiTheme="majorBidi" w:cstheme="majorBidi"/>
          <w:sz w:val="20"/>
          <w:szCs w:val="20"/>
        </w:rPr>
        <w:t>op</w:t>
      </w:r>
      <w:r w:rsidR="00D63B94">
        <w:rPr>
          <w:rFonts w:asciiTheme="majorBidi" w:hAnsiTheme="majorBidi" w:cstheme="majorBidi"/>
          <w:sz w:val="20"/>
          <w:szCs w:val="20"/>
        </w:rPr>
        <w:t>.</w:t>
      </w:r>
      <w:r w:rsidR="00EF7BD4" w:rsidRPr="00360395">
        <w:rPr>
          <w:rFonts w:asciiTheme="majorBidi" w:hAnsiTheme="majorBidi" w:cstheme="majorBidi"/>
          <w:sz w:val="20"/>
          <w:szCs w:val="20"/>
        </w:rPr>
        <w:t>cit,</w:t>
      </w:r>
      <w:r w:rsidR="00EF7BD4">
        <w:rPr>
          <w:rFonts w:asciiTheme="majorBidi" w:hAnsiTheme="majorBidi" w:cstheme="majorBidi"/>
          <w:sz w:val="20"/>
          <w:szCs w:val="20"/>
        </w:rPr>
        <w:t xml:space="preserve"> p48.</w:t>
      </w:r>
    </w:p>
    <w:p w:rsidR="00EF7BD4" w:rsidRDefault="00EF7BD4" w:rsidP="00EF7BD4">
      <w:pPr>
        <w:tabs>
          <w:tab w:val="right" w:pos="566"/>
        </w:tabs>
        <w:bidi/>
        <w:spacing w:after="0"/>
        <w:jc w:val="both"/>
        <w:rPr>
          <w:rFonts w:ascii="Traditional Arabic" w:eastAsia="Times New Roman" w:hAnsi="Traditional Arabic" w:cs="Traditional Arabic"/>
          <w:b/>
          <w:bCs/>
          <w:sz w:val="32"/>
          <w:szCs w:val="32"/>
          <w:rtl/>
          <w:lang w:bidi="ar-DZ"/>
        </w:rPr>
      </w:pPr>
      <w:r w:rsidRPr="00DA1DF0">
        <w:rPr>
          <w:rFonts w:ascii="Traditional Arabic" w:eastAsia="Times New Roman" w:hAnsi="Traditional Arabic" w:cs="Traditional Arabic" w:hint="cs"/>
          <w:b/>
          <w:bCs/>
          <w:sz w:val="24"/>
          <w:szCs w:val="24"/>
          <w:rtl/>
          <w:lang w:bidi="ar-DZ"/>
        </w:rPr>
        <w:t xml:space="preserve">5- </w:t>
      </w:r>
      <w:r w:rsidRPr="00DA1DF0">
        <w:rPr>
          <w:rFonts w:ascii="Traditional Arabic" w:eastAsia="Times New Roman" w:hAnsi="Traditional Arabic" w:cs="Traditional Arabic" w:hint="cs"/>
          <w:b/>
          <w:bCs/>
          <w:sz w:val="32"/>
          <w:szCs w:val="32"/>
          <w:rtl/>
          <w:lang w:bidi="ar-DZ"/>
        </w:rPr>
        <w:t>تقسيم</w:t>
      </w:r>
      <w:r>
        <w:rPr>
          <w:rFonts w:ascii="Traditional Arabic" w:eastAsia="Times New Roman" w:hAnsi="Traditional Arabic" w:cs="Traditional Arabic" w:hint="cs"/>
          <w:b/>
          <w:bCs/>
          <w:sz w:val="32"/>
          <w:szCs w:val="32"/>
          <w:rtl/>
          <w:lang w:bidi="ar-DZ"/>
        </w:rPr>
        <w:t>ات</w:t>
      </w:r>
      <w:r w:rsidRPr="00DA1DF0">
        <w:rPr>
          <w:rFonts w:ascii="Traditional Arabic" w:eastAsia="Times New Roman" w:hAnsi="Traditional Arabic" w:cs="Traditional Arabic" w:hint="cs"/>
          <w:b/>
          <w:bCs/>
          <w:sz w:val="32"/>
          <w:szCs w:val="32"/>
          <w:rtl/>
          <w:lang w:bidi="ar-DZ"/>
        </w:rPr>
        <w:t xml:space="preserve"> المنتجات الائتمانية حسب التصنيف الدولي:</w:t>
      </w:r>
    </w:p>
    <w:p w:rsidR="00EF7BD4" w:rsidRDefault="00EF7BD4" w:rsidP="00C01482">
      <w:pPr>
        <w:tabs>
          <w:tab w:val="right" w:pos="567"/>
        </w:tabs>
        <w:bidi/>
        <w:jc w:val="lowKashida"/>
        <w:rPr>
          <w:rFonts w:ascii="Traditional Arabic" w:eastAsia="Times New Roman" w:hAnsi="Traditional Arabic" w:cs="Traditional Arabic"/>
          <w:noProof/>
          <w:sz w:val="32"/>
          <w:szCs w:val="32"/>
          <w:rtl/>
          <w:lang w:eastAsia="ar-SA" w:bidi="ar-DZ"/>
        </w:rPr>
      </w:pPr>
      <w:r>
        <w:rPr>
          <w:rFonts w:ascii="Traditional Arabic" w:eastAsia="Times New Roman" w:hAnsi="Traditional Arabic" w:cs="Traditional Arabic" w:hint="cs"/>
          <w:noProof/>
          <w:sz w:val="32"/>
          <w:szCs w:val="32"/>
          <w:rtl/>
          <w:lang w:eastAsia="ar-SA" w:bidi="ar-DZ"/>
        </w:rPr>
        <w:t xml:space="preserve">       </w:t>
      </w:r>
      <w:r w:rsidR="00C01482">
        <w:rPr>
          <w:rFonts w:ascii="Traditional Arabic" w:eastAsia="Times New Roman" w:hAnsi="Traditional Arabic" w:cs="Traditional Arabic" w:hint="cs"/>
          <w:noProof/>
          <w:sz w:val="32"/>
          <w:szCs w:val="32"/>
          <w:rtl/>
          <w:lang w:eastAsia="ar-SA" w:bidi="ar-DZ"/>
        </w:rPr>
        <w:t xml:space="preserve"> </w:t>
      </w:r>
      <w:r w:rsidRPr="00885733">
        <w:rPr>
          <w:rFonts w:ascii="Traditional Arabic" w:eastAsia="Times New Roman" w:hAnsi="Traditional Arabic" w:cs="Traditional Arabic"/>
          <w:noProof/>
          <w:sz w:val="32"/>
          <w:szCs w:val="32"/>
          <w:rtl/>
          <w:lang w:eastAsia="ar-SA" w:bidi="ar-DZ"/>
        </w:rPr>
        <w:t xml:space="preserve">لكي يتم ضمان أن الأوراق المالية </w:t>
      </w:r>
      <w:r>
        <w:rPr>
          <w:rFonts w:ascii="Traditional Arabic" w:eastAsia="Times New Roman" w:hAnsi="Traditional Arabic" w:cs="Traditional Arabic" w:hint="cs"/>
          <w:noProof/>
          <w:sz w:val="32"/>
          <w:szCs w:val="32"/>
          <w:rtl/>
          <w:lang w:eastAsia="ar-SA" w:bidi="ar-DZ"/>
        </w:rPr>
        <w:t>ال</w:t>
      </w:r>
      <w:r w:rsidRPr="00885733">
        <w:rPr>
          <w:rFonts w:ascii="Traditional Arabic" w:eastAsia="Times New Roman" w:hAnsi="Traditional Arabic" w:cs="Traditional Arabic"/>
          <w:noProof/>
          <w:sz w:val="32"/>
          <w:szCs w:val="32"/>
          <w:rtl/>
          <w:lang w:eastAsia="ar-SA" w:bidi="ar-DZ"/>
        </w:rPr>
        <w:t xml:space="preserve">مضمونة بأصول </w:t>
      </w:r>
      <w:r>
        <w:rPr>
          <w:rFonts w:ascii="Traditional Arabic" w:eastAsia="Times New Roman" w:hAnsi="Traditional Arabic" w:cs="Traditional Arabic" w:hint="cs"/>
          <w:noProof/>
          <w:sz w:val="32"/>
          <w:szCs w:val="32"/>
          <w:rtl/>
          <w:lang w:eastAsia="ar-SA" w:bidi="ar-DZ"/>
        </w:rPr>
        <w:t>هي</w:t>
      </w:r>
      <w:r>
        <w:rPr>
          <w:rFonts w:ascii="Traditional Arabic" w:eastAsia="Times New Roman" w:hAnsi="Traditional Arabic" w:cs="Traditional Arabic"/>
          <w:noProof/>
          <w:sz w:val="32"/>
          <w:szCs w:val="32"/>
          <w:rtl/>
          <w:lang w:eastAsia="ar-SA" w:bidi="ar-DZ"/>
        </w:rPr>
        <w:t xml:space="preserve"> ذات سيولة و</w:t>
      </w:r>
      <w:r w:rsidRPr="00885733">
        <w:rPr>
          <w:rFonts w:ascii="Traditional Arabic" w:eastAsia="Times New Roman" w:hAnsi="Traditional Arabic" w:cs="Traditional Arabic"/>
          <w:noProof/>
          <w:sz w:val="32"/>
          <w:szCs w:val="32"/>
          <w:rtl/>
          <w:lang w:eastAsia="ar-SA" w:bidi="ar-DZ"/>
        </w:rPr>
        <w:t xml:space="preserve">يمكن تسويقها للمستثمرين، يجب أن تكون مقبولة كأداة حافظة للقيمة، </w:t>
      </w:r>
      <w:r>
        <w:rPr>
          <w:rFonts w:ascii="Traditional Arabic" w:eastAsia="Times New Roman" w:hAnsi="Traditional Arabic" w:cs="Traditional Arabic" w:hint="cs"/>
          <w:noProof/>
          <w:sz w:val="32"/>
          <w:szCs w:val="32"/>
          <w:rtl/>
          <w:lang w:eastAsia="ar-SA" w:bidi="ar-DZ"/>
        </w:rPr>
        <w:t>وأنه تم تصنيفها وتقييمها من قبل</w:t>
      </w:r>
      <w:r w:rsidRPr="00885733">
        <w:rPr>
          <w:rFonts w:ascii="Traditional Arabic" w:eastAsia="Times New Roman" w:hAnsi="Traditional Arabic" w:cs="Traditional Arabic"/>
          <w:noProof/>
          <w:sz w:val="32"/>
          <w:szCs w:val="32"/>
          <w:rtl/>
          <w:lang w:eastAsia="ar-SA" w:bidi="ar-DZ"/>
        </w:rPr>
        <w:t>.</w:t>
      </w:r>
      <w:r>
        <w:rPr>
          <w:rFonts w:ascii="Traditional Arabic" w:eastAsia="Times New Roman" w:hAnsi="Traditional Arabic" w:cs="Traditional Arabic" w:hint="cs"/>
          <w:noProof/>
          <w:sz w:val="32"/>
          <w:szCs w:val="32"/>
          <w:rtl/>
          <w:lang w:eastAsia="ar-SA" w:bidi="ar-DZ"/>
        </w:rPr>
        <w:t xml:space="preserve"> كما </w:t>
      </w:r>
      <w:r w:rsidRPr="00885733">
        <w:rPr>
          <w:rFonts w:ascii="Traditional Arabic" w:eastAsia="Times New Roman" w:hAnsi="Traditional Arabic" w:cs="Traditional Arabic"/>
          <w:noProof/>
          <w:sz w:val="32"/>
          <w:szCs w:val="32"/>
          <w:rtl/>
          <w:lang w:eastAsia="ar-SA" w:bidi="ar-DZ"/>
        </w:rPr>
        <w:t>تستح</w:t>
      </w:r>
      <w:r>
        <w:rPr>
          <w:rFonts w:ascii="Traditional Arabic" w:eastAsia="Times New Roman" w:hAnsi="Traditional Arabic" w:cs="Traditional Arabic"/>
          <w:noProof/>
          <w:sz w:val="32"/>
          <w:szCs w:val="32"/>
          <w:rtl/>
          <w:lang w:eastAsia="ar-SA" w:bidi="ar-DZ"/>
        </w:rPr>
        <w:t>وذ ثلاثة وكالات تصنيف أمريكية و</w:t>
      </w:r>
      <w:r w:rsidRPr="00885733">
        <w:rPr>
          <w:rFonts w:ascii="Traditional Arabic" w:eastAsia="Times New Roman" w:hAnsi="Traditional Arabic" w:cs="Traditional Arabic"/>
          <w:noProof/>
          <w:sz w:val="32"/>
          <w:szCs w:val="32"/>
          <w:rtl/>
          <w:lang w:eastAsia="ar-SA" w:bidi="ar-DZ"/>
        </w:rPr>
        <w:t>المتمثلة في (</w:t>
      </w:r>
      <w:r w:rsidRPr="00885733">
        <w:rPr>
          <w:rFonts w:ascii="Traditional Arabic" w:eastAsia="Times New Roman" w:hAnsi="Traditional Arabic" w:cs="Traditional Arabic"/>
          <w:noProof/>
          <w:sz w:val="24"/>
          <w:szCs w:val="24"/>
          <w:lang w:eastAsia="ar-SA" w:bidi="ar-DZ"/>
        </w:rPr>
        <w:t>Moody’s , Standart &amp; poor’s, Fitch</w:t>
      </w:r>
      <w:r w:rsidRPr="00885733">
        <w:rPr>
          <w:rFonts w:ascii="Traditional Arabic" w:eastAsia="Times New Roman" w:hAnsi="Traditional Arabic" w:cs="Traditional Arabic"/>
          <w:noProof/>
          <w:sz w:val="32"/>
          <w:szCs w:val="32"/>
          <w:rtl/>
          <w:lang w:eastAsia="ar-SA" w:bidi="ar-DZ"/>
        </w:rPr>
        <w:t xml:space="preserve">) على </w:t>
      </w:r>
      <w:r w:rsidRPr="00885733">
        <w:rPr>
          <w:rFonts w:ascii="Traditional Arabic" w:eastAsia="Times New Roman" w:hAnsi="Traditional Arabic" w:cs="Traditional Arabic"/>
          <w:noProof/>
          <w:sz w:val="24"/>
          <w:szCs w:val="24"/>
          <w:rtl/>
          <w:lang w:eastAsia="ar-SA" w:bidi="ar-DZ"/>
        </w:rPr>
        <w:t xml:space="preserve">95 % </w:t>
      </w:r>
      <w:r w:rsidRPr="00885733">
        <w:rPr>
          <w:rFonts w:ascii="Traditional Arabic" w:eastAsia="Times New Roman" w:hAnsi="Traditional Arabic" w:cs="Traditional Arabic"/>
          <w:noProof/>
          <w:sz w:val="32"/>
          <w:szCs w:val="32"/>
          <w:rtl/>
          <w:lang w:eastAsia="ar-SA" w:bidi="ar-DZ"/>
        </w:rPr>
        <w:t>من السوق الأمريكي، والتي يكمن دورها في تقييم الجدارة الائتمانية للمقترض</w:t>
      </w:r>
      <w:r>
        <w:rPr>
          <w:rFonts w:ascii="Traditional Arabic" w:eastAsia="Times New Roman" w:hAnsi="Traditional Arabic" w:cs="Traditional Arabic" w:hint="cs"/>
          <w:noProof/>
          <w:sz w:val="32"/>
          <w:szCs w:val="32"/>
          <w:rtl/>
          <w:lang w:eastAsia="ar-SA" w:bidi="ar-DZ"/>
        </w:rPr>
        <w:t>ين</w:t>
      </w:r>
      <w:r w:rsidRPr="00885733">
        <w:rPr>
          <w:rFonts w:ascii="Traditional Arabic" w:eastAsia="Times New Roman" w:hAnsi="Traditional Arabic" w:cs="Traditional Arabic"/>
          <w:noProof/>
          <w:sz w:val="32"/>
          <w:szCs w:val="32"/>
          <w:rtl/>
          <w:lang w:eastAsia="ar-SA" w:bidi="ar-DZ"/>
        </w:rPr>
        <w:t xml:space="preserve"> (مؤسسات </w:t>
      </w:r>
      <w:r>
        <w:rPr>
          <w:rFonts w:ascii="Traditional Arabic" w:eastAsia="Times New Roman" w:hAnsi="Traditional Arabic" w:cs="Traditional Arabic" w:hint="cs"/>
          <w:noProof/>
          <w:sz w:val="32"/>
          <w:szCs w:val="32"/>
          <w:rtl/>
          <w:lang w:eastAsia="ar-SA" w:bidi="ar-DZ"/>
        </w:rPr>
        <w:t>خاصة</w:t>
      </w:r>
      <w:r>
        <w:rPr>
          <w:rFonts w:ascii="Traditional Arabic" w:eastAsia="Times New Roman" w:hAnsi="Traditional Arabic" w:cs="Traditional Arabic"/>
          <w:noProof/>
          <w:sz w:val="32"/>
          <w:szCs w:val="32"/>
          <w:rtl/>
          <w:lang w:eastAsia="ar-SA" w:bidi="ar-DZ"/>
        </w:rPr>
        <w:t xml:space="preserve"> أو عامة) عن طريق قياس خطر عدم سداد ديونهم، و</w:t>
      </w:r>
      <w:r w:rsidRPr="00885733">
        <w:rPr>
          <w:rFonts w:ascii="Traditional Arabic" w:eastAsia="Times New Roman" w:hAnsi="Traditional Arabic" w:cs="Traditional Arabic"/>
          <w:noProof/>
          <w:sz w:val="32"/>
          <w:szCs w:val="32"/>
          <w:rtl/>
          <w:lang w:eastAsia="ar-SA" w:bidi="ar-DZ"/>
        </w:rPr>
        <w:t>تسمح العلامة المعطاة للمستثمرين بحصول</w:t>
      </w:r>
      <w:r>
        <w:rPr>
          <w:rFonts w:ascii="Traditional Arabic" w:eastAsia="Times New Roman" w:hAnsi="Traditional Arabic" w:cs="Traditional Arabic"/>
          <w:noProof/>
          <w:sz w:val="32"/>
          <w:szCs w:val="32"/>
          <w:rtl/>
          <w:lang w:eastAsia="ar-SA" w:bidi="ar-DZ"/>
        </w:rPr>
        <w:t>هم على معلومات بسيطة و مقروءة ل</w:t>
      </w:r>
      <w:r w:rsidRPr="00885733">
        <w:rPr>
          <w:rFonts w:ascii="Traditional Arabic" w:eastAsia="Times New Roman" w:hAnsi="Traditional Arabic" w:cs="Traditional Arabic"/>
          <w:noProof/>
          <w:sz w:val="32"/>
          <w:szCs w:val="32"/>
          <w:rtl/>
          <w:lang w:eastAsia="ar-SA" w:bidi="ar-DZ"/>
        </w:rPr>
        <w:t>خطر تعثر تلك الأعوان، وعليه تق</w:t>
      </w:r>
      <w:r>
        <w:rPr>
          <w:rFonts w:ascii="Traditional Arabic" w:eastAsia="Times New Roman" w:hAnsi="Traditional Arabic" w:cs="Traditional Arabic"/>
          <w:noProof/>
          <w:sz w:val="32"/>
          <w:szCs w:val="32"/>
          <w:rtl/>
          <w:lang w:eastAsia="ar-SA" w:bidi="ar-DZ"/>
        </w:rPr>
        <w:t>دم الوكالة رأيها ولا تقدم ضمان</w:t>
      </w:r>
      <w:r w:rsidRPr="00885733">
        <w:rPr>
          <w:rFonts w:ascii="Traditional Arabic" w:eastAsia="Times New Roman" w:hAnsi="Traditional Arabic" w:cs="Traditional Arabic"/>
          <w:noProof/>
          <w:szCs w:val="32"/>
          <w:vertAlign w:val="superscript"/>
          <w:rtl/>
          <w:lang w:eastAsia="ar-SA" w:bidi="ar-DZ"/>
        </w:rPr>
        <w:footnoteReference w:id="7"/>
      </w:r>
      <w:r>
        <w:rPr>
          <w:rFonts w:ascii="Traditional Arabic" w:eastAsia="Times New Roman" w:hAnsi="Traditional Arabic" w:cs="Traditional Arabic" w:hint="cs"/>
          <w:noProof/>
          <w:sz w:val="32"/>
          <w:szCs w:val="32"/>
          <w:rtl/>
          <w:lang w:eastAsia="ar-SA" w:bidi="ar-DZ"/>
        </w:rPr>
        <w:t xml:space="preserve">. </w:t>
      </w:r>
    </w:p>
    <w:p w:rsidR="00EF7BD4" w:rsidRPr="00F71539" w:rsidRDefault="00EF7BD4" w:rsidP="00EF7BD4">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w:t>
      </w:r>
      <w:r w:rsidRPr="00F71539">
        <w:rPr>
          <w:rFonts w:ascii="Traditional Arabic" w:hAnsi="Traditional Arabic" w:cs="Traditional Arabic"/>
          <w:sz w:val="32"/>
          <w:szCs w:val="32"/>
          <w:rtl/>
          <w:lang w:bidi="ar-DZ"/>
        </w:rPr>
        <w:t>لقد دفع الطلب على الأوراق المالية عالية الإيراد</w:t>
      </w:r>
      <w:r>
        <w:rPr>
          <w:rFonts w:ascii="Traditional Arabic" w:hAnsi="Traditional Arabic" w:cs="Traditional Arabic"/>
          <w:sz w:val="32"/>
          <w:szCs w:val="32"/>
          <w:rtl/>
          <w:lang w:bidi="ar-DZ"/>
        </w:rPr>
        <w:t xml:space="preserve"> من المرتبة الائتمانية أ ثلاثية</w:t>
      </w:r>
      <w:r w:rsidRPr="00F71539">
        <w:rPr>
          <w:rFonts w:ascii="Traditional Arabic" w:hAnsi="Traditional Arabic" w:cs="Traditional Arabic"/>
          <w:sz w:val="32"/>
          <w:szCs w:val="32"/>
          <w:rtl/>
          <w:lang w:bidi="ar-DZ"/>
        </w:rPr>
        <w:t xml:space="preserve"> مصدري منتجات الائتمان المهيكلة للحصول على قروض أساسية أقل نوعية بصورة متزايدة للوفاء بالطلب على منتجاتهم، مما </w:t>
      </w:r>
      <w:r w:rsidRPr="00F71539">
        <w:rPr>
          <w:rFonts w:ascii="Traditional Arabic" w:hAnsi="Traditional Arabic" w:cs="Traditional Arabic" w:hint="cs"/>
          <w:sz w:val="32"/>
          <w:szCs w:val="32"/>
          <w:rtl/>
          <w:lang w:bidi="ar-DZ"/>
        </w:rPr>
        <w:t>جزؤ</w:t>
      </w:r>
      <w:r>
        <w:rPr>
          <w:rFonts w:ascii="Traditional Arabic" w:hAnsi="Traditional Arabic" w:cs="Traditional Arabic" w:hint="cs"/>
          <w:sz w:val="32"/>
          <w:szCs w:val="32"/>
          <w:rtl/>
          <w:lang w:bidi="ar-DZ"/>
        </w:rPr>
        <w:t>وا</w:t>
      </w:r>
      <w:r w:rsidRPr="00F71539">
        <w:rPr>
          <w:rFonts w:ascii="Traditional Arabic" w:hAnsi="Traditional Arabic" w:cs="Traditional Arabic"/>
          <w:sz w:val="32"/>
          <w:szCs w:val="32"/>
          <w:rtl/>
          <w:lang w:bidi="ar-DZ"/>
        </w:rPr>
        <w:t xml:space="preserve"> التدفقات ال</w:t>
      </w:r>
      <w:r>
        <w:rPr>
          <w:rFonts w:ascii="Traditional Arabic" w:hAnsi="Traditional Arabic" w:cs="Traditional Arabic"/>
          <w:sz w:val="32"/>
          <w:szCs w:val="32"/>
          <w:rtl/>
          <w:lang w:bidi="ar-DZ"/>
        </w:rPr>
        <w:t>نقدية الوافدة إلى عدة شرائح، سامح</w:t>
      </w:r>
      <w:r>
        <w:rPr>
          <w:rFonts w:ascii="Traditional Arabic" w:hAnsi="Traditional Arabic" w:cs="Traditional Arabic" w:hint="cs"/>
          <w:sz w:val="32"/>
          <w:szCs w:val="32"/>
          <w:rtl/>
          <w:lang w:bidi="ar-DZ"/>
        </w:rPr>
        <w:t>ين</w:t>
      </w:r>
      <w:r w:rsidRPr="00F71539">
        <w:rPr>
          <w:rFonts w:ascii="Traditional Arabic" w:hAnsi="Traditional Arabic" w:cs="Traditional Arabic"/>
          <w:sz w:val="32"/>
          <w:szCs w:val="32"/>
          <w:rtl/>
          <w:lang w:bidi="ar-DZ"/>
        </w:rPr>
        <w:t xml:space="preserve"> </w:t>
      </w:r>
      <w:r w:rsidRPr="0051203C">
        <w:rPr>
          <w:rFonts w:ascii="Traditional Arabic" w:hAnsi="Traditional Arabic" w:cs="Traditional Arabic"/>
          <w:sz w:val="32"/>
          <w:szCs w:val="32"/>
          <w:rtl/>
          <w:lang w:bidi="ar-DZ"/>
        </w:rPr>
        <w:t>بدفع</w:t>
      </w:r>
      <w:r w:rsidRPr="00F71539">
        <w:rPr>
          <w:rFonts w:ascii="Traditional Arabic" w:hAnsi="Traditional Arabic" w:cs="Traditional Arabic"/>
          <w:sz w:val="32"/>
          <w:szCs w:val="32"/>
          <w:rtl/>
          <w:lang w:bidi="ar-DZ"/>
        </w:rPr>
        <w:t xml:space="preserve"> بعض </w:t>
      </w:r>
      <w:r>
        <w:rPr>
          <w:rFonts w:ascii="Traditional Arabic" w:hAnsi="Traditional Arabic" w:cs="Traditional Arabic" w:hint="cs"/>
          <w:sz w:val="32"/>
          <w:szCs w:val="32"/>
          <w:rtl/>
          <w:lang w:bidi="ar-DZ"/>
        </w:rPr>
        <w:t>الأجزاء</w:t>
      </w:r>
      <w:r w:rsidRPr="00F71539">
        <w:rPr>
          <w:rFonts w:ascii="Traditional Arabic" w:hAnsi="Traditional Arabic" w:cs="Traditional Arabic"/>
          <w:sz w:val="32"/>
          <w:szCs w:val="32"/>
          <w:rtl/>
          <w:lang w:bidi="ar-DZ"/>
        </w:rPr>
        <w:t xml:space="preserve"> أولا للمستثمرين </w:t>
      </w:r>
      <w:r>
        <w:rPr>
          <w:rFonts w:ascii="Traditional Arabic" w:hAnsi="Traditional Arabic" w:cs="Traditional Arabic" w:hint="cs"/>
          <w:sz w:val="32"/>
          <w:szCs w:val="32"/>
          <w:rtl/>
          <w:lang w:bidi="ar-DZ"/>
        </w:rPr>
        <w:t>لتبرير</w:t>
      </w:r>
      <w:r w:rsidRPr="00F71539">
        <w:rPr>
          <w:rFonts w:ascii="Traditional Arabic" w:hAnsi="Traditional Arabic" w:cs="Traditional Arabic"/>
          <w:sz w:val="32"/>
          <w:szCs w:val="32"/>
          <w:rtl/>
          <w:lang w:bidi="ar-DZ"/>
        </w:rPr>
        <w:t xml:space="preserve"> إعطائها المرتبة </w:t>
      </w:r>
      <w:r w:rsidRPr="00F71539">
        <w:rPr>
          <w:rFonts w:ascii="Traditional Arabic" w:hAnsi="Traditional Arabic" w:cs="Traditional Arabic"/>
          <w:sz w:val="32"/>
          <w:szCs w:val="32"/>
          <w:rtl/>
          <w:lang w:bidi="ar-DZ"/>
        </w:rPr>
        <w:lastRenderedPageBreak/>
        <w:t>الائتمانية أ ثلاثية. وكان من السهل تسويق هذه الأوراق المالية عالية المرتبة والأعلى إيرادا لدى الكثير من</w:t>
      </w:r>
      <w:r>
        <w:rPr>
          <w:rFonts w:ascii="Traditional Arabic" w:hAnsi="Traditional Arabic" w:cs="Traditional Arabic"/>
          <w:sz w:val="32"/>
          <w:szCs w:val="32"/>
          <w:rtl/>
          <w:lang w:bidi="ar-DZ"/>
        </w:rPr>
        <w:t xml:space="preserve"> شركات التأمين وصناديق المعاشات</w:t>
      </w:r>
      <w:r w:rsidRPr="00F71539">
        <w:rPr>
          <w:rFonts w:ascii="Traditional Arabic" w:hAnsi="Traditional Arabic" w:cs="Traditional Arabic"/>
          <w:sz w:val="32"/>
          <w:szCs w:val="32"/>
          <w:rtl/>
          <w:lang w:bidi="ar-DZ"/>
        </w:rPr>
        <w:t xml:space="preserve"> والبنوك </w:t>
      </w:r>
      <w:r>
        <w:rPr>
          <w:rFonts w:ascii="Traditional Arabic" w:hAnsi="Traditional Arabic" w:cs="Traditional Arabic" w:hint="cs"/>
          <w:sz w:val="32"/>
          <w:szCs w:val="32"/>
          <w:rtl/>
          <w:lang w:bidi="ar-DZ"/>
        </w:rPr>
        <w:t>الصغيرة</w:t>
      </w:r>
      <w:r w:rsidRPr="00F71539">
        <w:rPr>
          <w:rFonts w:ascii="Traditional Arabic" w:hAnsi="Traditional Arabic" w:cs="Traditional Arabic"/>
          <w:sz w:val="32"/>
          <w:szCs w:val="32"/>
          <w:rtl/>
          <w:lang w:bidi="ar-DZ"/>
        </w:rPr>
        <w:t xml:space="preserve"> في شتى أنحاء العالم. وبالنسبة للمستثمرين الآخرين، مثل صناديق التحوط وأولئك الراغبين في تحمل مخاطر أكبر، بدت أيضا عائدات الأجزاء الأقل مرتبة من هذه الأوراق المالية المهيكلة مغرية.   </w:t>
      </w:r>
      <w:r>
        <w:rPr>
          <w:rFonts w:ascii="Traditional Arabic" w:hAnsi="Traditional Arabic" w:cs="Traditional Arabic" w:hint="cs"/>
          <w:sz w:val="32"/>
          <w:szCs w:val="32"/>
          <w:rtl/>
          <w:lang w:bidi="ar-DZ"/>
        </w:rPr>
        <w:t xml:space="preserve"> </w:t>
      </w:r>
      <w:r w:rsidRPr="00F71539">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EF7BD4" w:rsidRDefault="00EF7BD4" w:rsidP="00EF7BD4">
      <w:pPr>
        <w:tabs>
          <w:tab w:val="right" w:pos="567"/>
        </w:tabs>
        <w:bidi/>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463DB2">
        <w:rPr>
          <w:rFonts w:ascii="Traditional Arabic" w:hAnsi="Traditional Arabic" w:cs="Traditional Arabic"/>
          <w:sz w:val="32"/>
          <w:szCs w:val="32"/>
          <w:rtl/>
          <w:lang w:bidi="ar-DZ"/>
        </w:rPr>
        <w:t xml:space="preserve">  وفي المناخ المالي المستقر مع وفرة السيولة، لا يشعر المستثمرون</w:t>
      </w:r>
      <w:r>
        <w:rPr>
          <w:rFonts w:ascii="Traditional Arabic" w:hAnsi="Traditional Arabic" w:cs="Traditional Arabic" w:hint="cs"/>
          <w:sz w:val="32"/>
          <w:szCs w:val="32"/>
          <w:rtl/>
          <w:lang w:bidi="ar-DZ"/>
        </w:rPr>
        <w:t xml:space="preserve"> على</w:t>
      </w:r>
      <w:r>
        <w:rPr>
          <w:rFonts w:ascii="Traditional Arabic" w:hAnsi="Traditional Arabic" w:cs="Traditional Arabic"/>
          <w:sz w:val="32"/>
          <w:szCs w:val="32"/>
          <w:rtl/>
          <w:lang w:bidi="ar-DZ"/>
        </w:rPr>
        <w:t xml:space="preserve"> </w:t>
      </w:r>
      <w:r w:rsidRPr="00463DB2">
        <w:rPr>
          <w:rFonts w:ascii="Traditional Arabic" w:hAnsi="Traditional Arabic" w:cs="Traditional Arabic"/>
          <w:sz w:val="32"/>
          <w:szCs w:val="32"/>
          <w:rtl/>
          <w:lang w:bidi="ar-DZ"/>
        </w:rPr>
        <w:t xml:space="preserve">أنهم مضطرون إلى أن يولوا كثيرا من الاهتمام </w:t>
      </w:r>
      <w:r>
        <w:rPr>
          <w:rFonts w:ascii="Traditional Arabic" w:hAnsi="Traditional Arabic" w:cs="Traditional Arabic" w:hint="cs"/>
          <w:sz w:val="32"/>
          <w:szCs w:val="32"/>
          <w:rtl/>
          <w:lang w:bidi="ar-DZ"/>
        </w:rPr>
        <w:t>ل</w:t>
      </w:r>
      <w:r w:rsidRPr="00463DB2">
        <w:rPr>
          <w:rFonts w:ascii="Traditional Arabic" w:hAnsi="Traditional Arabic" w:cs="Traditional Arabic"/>
          <w:sz w:val="32"/>
          <w:szCs w:val="32"/>
          <w:rtl/>
          <w:lang w:bidi="ar-DZ"/>
        </w:rPr>
        <w:t>لمخاطر التي تنطوي عليها المنتجات المهيكلة المركب</w:t>
      </w:r>
      <w:r>
        <w:rPr>
          <w:rFonts w:ascii="Traditional Arabic" w:hAnsi="Traditional Arabic" w:cs="Traditional Arabic"/>
          <w:sz w:val="32"/>
          <w:szCs w:val="32"/>
          <w:rtl/>
          <w:lang w:bidi="ar-DZ"/>
        </w:rPr>
        <w:t>ة التي اشتروها، مفترضين</w:t>
      </w:r>
      <w:r>
        <w:rPr>
          <w:rFonts w:ascii="Traditional Arabic" w:hAnsi="Traditional Arabic" w:cs="Traditional Arabic" w:hint="cs"/>
          <w:sz w:val="32"/>
          <w:szCs w:val="32"/>
          <w:rtl/>
          <w:lang w:bidi="ar-DZ"/>
        </w:rPr>
        <w:t xml:space="preserve"> بدلا من ذلك</w:t>
      </w:r>
      <w:r>
        <w:rPr>
          <w:rFonts w:ascii="Traditional Arabic" w:hAnsi="Traditional Arabic" w:cs="Traditional Arabic"/>
          <w:sz w:val="32"/>
          <w:szCs w:val="32"/>
          <w:rtl/>
          <w:lang w:bidi="ar-DZ"/>
        </w:rPr>
        <w:t xml:space="preserve"> أنهم يستطيعو</w:t>
      </w:r>
      <w:r>
        <w:rPr>
          <w:rFonts w:ascii="Traditional Arabic" w:hAnsi="Traditional Arabic" w:cs="Traditional Arabic" w:hint="cs"/>
          <w:sz w:val="32"/>
          <w:szCs w:val="32"/>
          <w:rtl/>
          <w:lang w:bidi="ar-DZ"/>
        </w:rPr>
        <w:t>ا</w:t>
      </w:r>
      <w:r>
        <w:rPr>
          <w:rFonts w:ascii="Traditional Arabic" w:hAnsi="Traditional Arabic" w:cs="Traditional Arabic"/>
          <w:sz w:val="32"/>
          <w:szCs w:val="32"/>
          <w:rtl/>
          <w:lang w:bidi="ar-DZ"/>
        </w:rPr>
        <w:t xml:space="preserve"> أن</w:t>
      </w:r>
      <w:r w:rsidRPr="00463DB2">
        <w:rPr>
          <w:rFonts w:ascii="Traditional Arabic" w:hAnsi="Traditional Arabic" w:cs="Traditional Arabic"/>
          <w:sz w:val="32"/>
          <w:szCs w:val="32"/>
          <w:rtl/>
          <w:lang w:bidi="ar-DZ"/>
        </w:rPr>
        <w:t xml:space="preserve"> يبيعو</w:t>
      </w:r>
      <w:r>
        <w:rPr>
          <w:rFonts w:ascii="Traditional Arabic" w:hAnsi="Traditional Arabic" w:cs="Traditional Arabic" w:hint="cs"/>
          <w:sz w:val="32"/>
          <w:szCs w:val="32"/>
          <w:rtl/>
          <w:lang w:bidi="ar-DZ"/>
        </w:rPr>
        <w:t>ه</w:t>
      </w:r>
      <w:r>
        <w:rPr>
          <w:rFonts w:ascii="Traditional Arabic" w:hAnsi="Traditional Arabic" w:cs="Traditional Arabic"/>
          <w:sz w:val="32"/>
          <w:szCs w:val="32"/>
          <w:rtl/>
          <w:lang w:bidi="ar-DZ"/>
        </w:rPr>
        <w:t xml:space="preserve">ا </w:t>
      </w:r>
      <w:r w:rsidRPr="00463DB2">
        <w:rPr>
          <w:rFonts w:ascii="Traditional Arabic" w:hAnsi="Traditional Arabic" w:cs="Traditional Arabic"/>
          <w:sz w:val="32"/>
          <w:szCs w:val="32"/>
          <w:rtl/>
          <w:lang w:bidi="ar-DZ"/>
        </w:rPr>
        <w:t>لآخرين إن اقتضى الأمر، وقد وثقوا بوكالات تحديد المراتب الائتمانية لتقييم المخاطر بصورة سليمة.</w:t>
      </w:r>
    </w:p>
    <w:p w:rsidR="00EF7BD4" w:rsidRDefault="006703D7" w:rsidP="006703D7">
      <w:pPr>
        <w:tabs>
          <w:tab w:val="right" w:pos="567"/>
        </w:tabs>
        <w:bidi/>
        <w:jc w:val="lowKashida"/>
        <w:rPr>
          <w:rFonts w:ascii="Traditional Arabic" w:eastAsia="Times New Roman" w:hAnsi="Traditional Arabic" w:cs="Traditional Arabic"/>
          <w:noProof/>
          <w:sz w:val="32"/>
          <w:szCs w:val="32"/>
          <w:rtl/>
          <w:lang w:eastAsia="ar-SA" w:bidi="ar-DZ"/>
        </w:rPr>
      </w:pPr>
      <w:r>
        <w:rPr>
          <w:rFonts w:ascii="Traditional Arabic" w:eastAsia="Times New Roman" w:hAnsi="Traditional Arabic" w:cs="Traditional Arabic" w:hint="cs"/>
          <w:noProof/>
          <w:sz w:val="32"/>
          <w:szCs w:val="32"/>
          <w:rtl/>
          <w:lang w:eastAsia="ar-SA" w:bidi="ar-DZ"/>
        </w:rPr>
        <w:t xml:space="preserve">     </w:t>
      </w:r>
      <w:r w:rsidR="00EF7BD4" w:rsidRPr="002F37B5">
        <w:rPr>
          <w:rFonts w:ascii="Traditional Arabic" w:eastAsia="Times New Roman" w:hAnsi="Traditional Arabic" w:cs="Traditional Arabic"/>
          <w:noProof/>
          <w:sz w:val="32"/>
          <w:szCs w:val="32"/>
          <w:rtl/>
          <w:lang w:eastAsia="ar-SA" w:bidi="ar-DZ"/>
        </w:rPr>
        <w:t xml:space="preserve">  </w:t>
      </w:r>
      <w:r w:rsidR="00EF7BD4">
        <w:rPr>
          <w:rFonts w:ascii="Traditional Arabic" w:eastAsia="Times New Roman" w:hAnsi="Traditional Arabic" w:cs="Traditional Arabic" w:hint="cs"/>
          <w:noProof/>
          <w:sz w:val="32"/>
          <w:szCs w:val="32"/>
          <w:rtl/>
          <w:lang w:eastAsia="ar-SA" w:bidi="ar-DZ"/>
        </w:rPr>
        <w:t>و</w:t>
      </w:r>
      <w:r w:rsidR="00EF7BD4" w:rsidRPr="002F37B5">
        <w:rPr>
          <w:rFonts w:ascii="Traditional Arabic" w:eastAsia="Times New Roman" w:hAnsi="Traditional Arabic" w:cs="Traditional Arabic"/>
          <w:noProof/>
          <w:sz w:val="32"/>
          <w:szCs w:val="32"/>
          <w:rtl/>
          <w:lang w:eastAsia="ar-SA" w:bidi="ar-DZ"/>
        </w:rPr>
        <w:t>يقتضي التمويل المهيكل عادة تجميع مخاطر أساسية معينة متعددة (مخاطر السوق والإئتمان) عن طريق تجميع الصكوك المعر</w:t>
      </w:r>
      <w:r w:rsidR="00C92054">
        <w:rPr>
          <w:rFonts w:ascii="Traditional Arabic" w:eastAsia="Times New Roman" w:hAnsi="Traditional Arabic" w:cs="Traditional Arabic" w:hint="cs"/>
          <w:noProof/>
          <w:sz w:val="32"/>
          <w:szCs w:val="32"/>
          <w:rtl/>
          <w:lang w:eastAsia="ar-SA" w:bidi="ar-DZ"/>
        </w:rPr>
        <w:t>ّ</w:t>
      </w:r>
      <w:r w:rsidR="00EF7BD4" w:rsidRPr="002F37B5">
        <w:rPr>
          <w:rFonts w:ascii="Traditional Arabic" w:eastAsia="Times New Roman" w:hAnsi="Traditional Arabic" w:cs="Traditional Arabic"/>
          <w:noProof/>
          <w:sz w:val="32"/>
          <w:szCs w:val="32"/>
          <w:rtl/>
          <w:lang w:eastAsia="ar-SA" w:bidi="ar-DZ"/>
        </w:rPr>
        <w:t>ضة لتلك المخاطر (السندات والقروض والأوراق المالية التي يدعمها رهن)</w:t>
      </w:r>
      <w:r w:rsidR="00924A2A">
        <w:rPr>
          <w:rFonts w:ascii="Traditional Arabic" w:eastAsia="Times New Roman" w:hAnsi="Traditional Arabic" w:cs="Traditional Arabic" w:hint="cs"/>
          <w:noProof/>
          <w:sz w:val="32"/>
          <w:szCs w:val="32"/>
          <w:rtl/>
          <w:lang w:eastAsia="ar-SA" w:bidi="ar-DZ"/>
        </w:rPr>
        <w:t>،</w:t>
      </w:r>
      <w:r w:rsidR="00EF7BD4" w:rsidRPr="002F37B5">
        <w:rPr>
          <w:rFonts w:ascii="Traditional Arabic" w:eastAsia="Times New Roman" w:hAnsi="Traditional Arabic" w:cs="Traditional Arabic"/>
          <w:noProof/>
          <w:sz w:val="32"/>
          <w:szCs w:val="32"/>
          <w:rtl/>
          <w:lang w:eastAsia="ar-SA" w:bidi="ar-DZ"/>
        </w:rPr>
        <w:t xml:space="preserve"> ثم تقس</w:t>
      </w:r>
      <w:r w:rsidR="00EF7BD4">
        <w:rPr>
          <w:rFonts w:ascii="Traditional Arabic" w:eastAsia="Times New Roman" w:hAnsi="Traditional Arabic" w:cs="Traditional Arabic"/>
          <w:noProof/>
          <w:sz w:val="32"/>
          <w:szCs w:val="32"/>
          <w:rtl/>
          <w:lang w:eastAsia="ar-SA" w:bidi="ar-DZ"/>
        </w:rPr>
        <w:t xml:space="preserve">يم التدفقات النقدية الناجمة إلى </w:t>
      </w:r>
      <w:r w:rsidR="00EF7BD4">
        <w:rPr>
          <w:rFonts w:ascii="Traditional Arabic" w:eastAsia="Times New Roman" w:hAnsi="Traditional Arabic" w:cs="Traditional Arabic" w:hint="cs"/>
          <w:noProof/>
          <w:sz w:val="32"/>
          <w:szCs w:val="32"/>
          <w:rtl/>
          <w:lang w:eastAsia="ar-SA" w:bidi="ar-DZ"/>
        </w:rPr>
        <w:t>شرائح</w:t>
      </w:r>
      <w:r w:rsidR="00EF7BD4" w:rsidRPr="002F37B5">
        <w:rPr>
          <w:rFonts w:ascii="Traditional Arabic" w:eastAsia="Times New Roman" w:hAnsi="Traditional Arabic" w:cs="Traditional Arabic"/>
          <w:noProof/>
          <w:sz w:val="32"/>
          <w:szCs w:val="32"/>
          <w:rtl/>
          <w:lang w:eastAsia="ar-SA" w:bidi="ar-DZ"/>
        </w:rPr>
        <w:t xml:space="preserve"> تدفع لحائزين مختلفين. ويتم سداد المدفوعات من ال</w:t>
      </w:r>
      <w:r w:rsidR="00EF7BD4">
        <w:rPr>
          <w:rFonts w:ascii="Traditional Arabic" w:eastAsia="Times New Roman" w:hAnsi="Traditional Arabic" w:cs="Traditional Arabic" w:hint="cs"/>
          <w:noProof/>
          <w:sz w:val="32"/>
          <w:szCs w:val="32"/>
          <w:rtl/>
          <w:lang w:eastAsia="ar-SA" w:bidi="ar-DZ"/>
        </w:rPr>
        <w:t>م</w:t>
      </w:r>
      <w:r w:rsidR="00EF7BD4" w:rsidRPr="002F37B5">
        <w:rPr>
          <w:rFonts w:ascii="Traditional Arabic" w:eastAsia="Times New Roman" w:hAnsi="Traditional Arabic" w:cs="Traditional Arabic"/>
          <w:noProof/>
          <w:sz w:val="32"/>
          <w:szCs w:val="32"/>
          <w:rtl/>
          <w:lang w:eastAsia="ar-SA" w:bidi="ar-DZ"/>
        </w:rPr>
        <w:t xml:space="preserve">جمع لحائزي هذه الشرائح بنظام </w:t>
      </w:r>
      <w:r w:rsidR="00EF7BD4">
        <w:rPr>
          <w:rFonts w:ascii="Traditional Arabic" w:eastAsia="Times New Roman" w:hAnsi="Traditional Arabic" w:cs="Traditional Arabic"/>
          <w:noProof/>
          <w:sz w:val="32"/>
          <w:szCs w:val="32"/>
          <w:rtl/>
          <w:lang w:eastAsia="ar-SA" w:bidi="ar-DZ"/>
        </w:rPr>
        <w:t>محدد، يبدأ بالشرائح الممتازة الأقل خطورة</w:t>
      </w:r>
      <w:r w:rsidR="00EF7BD4" w:rsidRPr="002F37B5">
        <w:rPr>
          <w:rFonts w:ascii="Traditional Arabic" w:eastAsia="Times New Roman" w:hAnsi="Traditional Arabic" w:cs="Traditional Arabic"/>
          <w:noProof/>
          <w:sz w:val="32"/>
          <w:szCs w:val="32"/>
          <w:rtl/>
          <w:lang w:eastAsia="ar-SA" w:bidi="ar-DZ"/>
        </w:rPr>
        <w:t xml:space="preserve"> ويتسلسل </w:t>
      </w:r>
      <w:r w:rsidR="00EF7BD4">
        <w:rPr>
          <w:rFonts w:ascii="Traditional Arabic" w:eastAsia="Times New Roman" w:hAnsi="Traditional Arabic" w:cs="Traditional Arabic" w:hint="cs"/>
          <w:noProof/>
          <w:sz w:val="32"/>
          <w:szCs w:val="32"/>
          <w:rtl/>
          <w:lang w:eastAsia="ar-SA" w:bidi="ar-DZ"/>
        </w:rPr>
        <w:t>تنازليا</w:t>
      </w:r>
      <w:r w:rsidR="00EF7BD4" w:rsidRPr="002F37B5">
        <w:rPr>
          <w:rFonts w:ascii="Traditional Arabic" w:eastAsia="Times New Roman" w:hAnsi="Traditional Arabic" w:cs="Traditional Arabic"/>
          <w:noProof/>
          <w:sz w:val="32"/>
          <w:szCs w:val="32"/>
          <w:rtl/>
          <w:lang w:eastAsia="ar-SA" w:bidi="ar-DZ"/>
        </w:rPr>
        <w:t xml:space="preserve"> </w:t>
      </w:r>
      <w:r w:rsidR="00EF7BD4">
        <w:rPr>
          <w:rFonts w:ascii="Traditional Arabic" w:eastAsia="Times New Roman" w:hAnsi="Traditional Arabic" w:cs="Traditional Arabic" w:hint="cs"/>
          <w:noProof/>
          <w:sz w:val="32"/>
          <w:szCs w:val="32"/>
          <w:rtl/>
          <w:lang w:eastAsia="ar-SA" w:bidi="ar-DZ"/>
        </w:rPr>
        <w:t xml:space="preserve">من </w:t>
      </w:r>
      <w:r w:rsidR="00EF7BD4" w:rsidRPr="002F37B5">
        <w:rPr>
          <w:rFonts w:ascii="Traditional Arabic" w:eastAsia="Times New Roman" w:hAnsi="Traditional Arabic" w:cs="Traditional Arabic"/>
          <w:noProof/>
          <w:sz w:val="32"/>
          <w:szCs w:val="32"/>
          <w:rtl/>
          <w:lang w:eastAsia="ar-SA" w:bidi="ar-DZ"/>
        </w:rPr>
        <w:t>خلال مستويات م</w:t>
      </w:r>
      <w:r w:rsidR="00EF7BD4">
        <w:rPr>
          <w:rFonts w:ascii="Traditional Arabic" w:eastAsia="Times New Roman" w:hAnsi="Traditional Arabic" w:cs="Traditional Arabic"/>
          <w:noProof/>
          <w:sz w:val="32"/>
          <w:szCs w:val="32"/>
          <w:rtl/>
          <w:lang w:eastAsia="ar-SA" w:bidi="ar-DZ"/>
        </w:rPr>
        <w:t>ختلفة إلى شرائح أسهم رأس المال</w:t>
      </w:r>
      <w:r w:rsidR="00EF7BD4">
        <w:rPr>
          <w:rFonts w:ascii="Traditional Arabic" w:eastAsia="Times New Roman" w:hAnsi="Traditional Arabic" w:cs="Traditional Arabic" w:hint="cs"/>
          <w:noProof/>
          <w:sz w:val="32"/>
          <w:szCs w:val="32"/>
          <w:rtl/>
          <w:lang w:eastAsia="ar-SA" w:bidi="ar-DZ"/>
        </w:rPr>
        <w:t xml:space="preserve"> </w:t>
      </w:r>
      <w:r w:rsidR="00EF7BD4" w:rsidRPr="002F37B5">
        <w:rPr>
          <w:rFonts w:ascii="Traditional Arabic" w:eastAsia="Times New Roman" w:hAnsi="Traditional Arabic" w:cs="Traditional Arabic"/>
          <w:noProof/>
          <w:sz w:val="32"/>
          <w:szCs w:val="32"/>
          <w:rtl/>
          <w:lang w:eastAsia="ar-SA" w:bidi="ar-DZ"/>
        </w:rPr>
        <w:t>ال</w:t>
      </w:r>
      <w:r w:rsidR="00EF7BD4">
        <w:rPr>
          <w:rFonts w:ascii="Traditional Arabic" w:eastAsia="Times New Roman" w:hAnsi="Traditional Arabic" w:cs="Traditional Arabic"/>
          <w:noProof/>
          <w:sz w:val="32"/>
          <w:szCs w:val="32"/>
          <w:rtl/>
          <w:lang w:eastAsia="ar-SA" w:bidi="ar-DZ"/>
        </w:rPr>
        <w:t>أكثر خطورة</w:t>
      </w:r>
      <w:r w:rsidR="00EF7BD4" w:rsidRPr="002F37B5">
        <w:rPr>
          <w:rFonts w:ascii="Traditional Arabic" w:eastAsia="Times New Roman" w:hAnsi="Traditional Arabic" w:cs="Traditional Arabic"/>
          <w:noProof/>
          <w:sz w:val="32"/>
          <w:szCs w:val="32"/>
          <w:rtl/>
          <w:lang w:eastAsia="ar-SA" w:bidi="ar-DZ"/>
        </w:rPr>
        <w:t xml:space="preserve"> (أنظر الشكل</w:t>
      </w:r>
      <w:r w:rsidR="00EF7BD4">
        <w:rPr>
          <w:rFonts w:ascii="Traditional Arabic" w:eastAsia="Times New Roman" w:hAnsi="Traditional Arabic" w:cs="Traditional Arabic" w:hint="cs"/>
          <w:noProof/>
          <w:sz w:val="32"/>
          <w:szCs w:val="32"/>
          <w:rtl/>
          <w:lang w:eastAsia="ar-SA" w:bidi="ar-DZ"/>
        </w:rPr>
        <w:t xml:space="preserve"> </w:t>
      </w:r>
      <w:r w:rsidR="00F2276E">
        <w:rPr>
          <w:rFonts w:ascii="Traditional Arabic" w:eastAsia="Times New Roman" w:hAnsi="Traditional Arabic" w:cs="Traditional Arabic" w:hint="cs"/>
          <w:noProof/>
          <w:sz w:val="32"/>
          <w:szCs w:val="32"/>
          <w:rtl/>
          <w:lang w:eastAsia="ar-SA" w:bidi="ar-DZ"/>
        </w:rPr>
        <w:t>رقم</w:t>
      </w:r>
      <w:r w:rsidR="00EF7BD4">
        <w:rPr>
          <w:rFonts w:ascii="Traditional Arabic" w:eastAsia="Times New Roman" w:hAnsi="Traditional Arabic" w:cs="Traditional Arabic" w:hint="cs"/>
          <w:noProof/>
          <w:sz w:val="32"/>
          <w:szCs w:val="32"/>
          <w:rtl/>
          <w:lang w:eastAsia="ar-SA" w:bidi="ar-DZ"/>
        </w:rPr>
        <w:t xml:space="preserve"> </w:t>
      </w:r>
      <w:r w:rsidR="00F2276E" w:rsidRPr="00F2276E">
        <w:rPr>
          <w:rFonts w:ascii="Traditional Arabic" w:eastAsia="Times New Roman" w:hAnsi="Traditional Arabic" w:cs="Traditional Arabic" w:hint="cs"/>
          <w:noProof/>
          <w:sz w:val="24"/>
          <w:szCs w:val="24"/>
          <w:rtl/>
          <w:lang w:eastAsia="ar-SA" w:bidi="ar-DZ"/>
        </w:rPr>
        <w:t>17</w:t>
      </w:r>
      <w:r w:rsidR="00EF7BD4" w:rsidRPr="002F37B5">
        <w:rPr>
          <w:rFonts w:ascii="Traditional Arabic" w:eastAsia="Times New Roman" w:hAnsi="Traditional Arabic" w:cs="Traditional Arabic"/>
          <w:noProof/>
          <w:sz w:val="32"/>
          <w:szCs w:val="32"/>
          <w:rtl/>
          <w:lang w:eastAsia="ar-SA" w:bidi="ar-DZ"/>
        </w:rPr>
        <w:t>).</w:t>
      </w:r>
      <w:r w:rsidR="00F2276E">
        <w:rPr>
          <w:rFonts w:ascii="Traditional Arabic" w:eastAsia="Times New Roman" w:hAnsi="Traditional Arabic" w:cs="Traditional Arabic" w:hint="cs"/>
          <w:noProof/>
          <w:sz w:val="32"/>
          <w:szCs w:val="32"/>
          <w:rtl/>
          <w:lang w:eastAsia="ar-SA" w:bidi="ar-DZ"/>
        </w:rPr>
        <w:t xml:space="preserve">  </w:t>
      </w:r>
    </w:p>
    <w:p w:rsidR="00AF7DC6" w:rsidRDefault="00EF7BD4" w:rsidP="006703D7">
      <w:pPr>
        <w:tabs>
          <w:tab w:val="right" w:pos="567"/>
        </w:tabs>
        <w:bidi/>
        <w:spacing w:after="0"/>
        <w:jc w:val="lowKashida"/>
        <w:rPr>
          <w:rFonts w:ascii="Traditional Arabic" w:eastAsia="Times New Roman" w:hAnsi="Traditional Arabic" w:cs="Traditional Arabic"/>
          <w:noProof/>
          <w:sz w:val="32"/>
          <w:szCs w:val="32"/>
          <w:lang w:eastAsia="ar-SA" w:bidi="ar-DZ"/>
        </w:rPr>
      </w:pPr>
      <w:r>
        <w:rPr>
          <w:rFonts w:ascii="Traditional Arabic" w:eastAsia="Times New Roman" w:hAnsi="Traditional Arabic" w:cs="Traditional Arabic" w:hint="cs"/>
          <w:noProof/>
          <w:sz w:val="32"/>
          <w:szCs w:val="32"/>
          <w:rtl/>
          <w:lang w:eastAsia="ar-SA" w:bidi="ar-DZ"/>
        </w:rPr>
        <w:t xml:space="preserve">     </w:t>
      </w:r>
      <w:r>
        <w:rPr>
          <w:rFonts w:ascii="Traditional Arabic" w:eastAsia="Times New Roman" w:hAnsi="Traditional Arabic" w:cs="Traditional Arabic"/>
          <w:noProof/>
          <w:sz w:val="32"/>
          <w:szCs w:val="32"/>
          <w:rtl/>
          <w:lang w:eastAsia="ar-SA" w:bidi="ar-DZ"/>
        </w:rPr>
        <w:t xml:space="preserve">  و</w:t>
      </w:r>
      <w:r w:rsidRPr="00885733">
        <w:rPr>
          <w:rFonts w:ascii="Traditional Arabic" w:eastAsia="Times New Roman" w:hAnsi="Traditional Arabic" w:cs="Traditional Arabic"/>
          <w:noProof/>
          <w:sz w:val="32"/>
          <w:szCs w:val="32"/>
          <w:rtl/>
          <w:lang w:eastAsia="ar-SA" w:bidi="ar-DZ"/>
        </w:rPr>
        <w:t xml:space="preserve">جرى العمل على تقسيم المحفظة المرجعية إلى ثلاثة مجموعات من الشرائح حسب التصنيف الائتماني للأدوات المالية المصدرة، تصنيف أعلى، متوسط، أدنى، </w:t>
      </w:r>
      <w:r>
        <w:rPr>
          <w:rFonts w:ascii="Traditional Arabic" w:eastAsia="Times New Roman" w:hAnsi="Traditional Arabic" w:cs="Traditional Arabic" w:hint="cs"/>
          <w:noProof/>
          <w:sz w:val="32"/>
          <w:szCs w:val="32"/>
          <w:rtl/>
          <w:lang w:eastAsia="ar-SA" w:bidi="ar-DZ"/>
        </w:rPr>
        <w:t>ف</w:t>
      </w:r>
      <w:r w:rsidRPr="00F66AA5">
        <w:rPr>
          <w:rFonts w:ascii="Traditional Arabic" w:eastAsia="Times New Roman" w:hAnsi="Traditional Arabic" w:cs="Traditional Arabic"/>
          <w:noProof/>
          <w:sz w:val="32"/>
          <w:szCs w:val="32"/>
          <w:rtl/>
          <w:lang w:eastAsia="ar-SA" w:bidi="ar-DZ"/>
        </w:rPr>
        <w:t xml:space="preserve">إذا لم يكن </w:t>
      </w:r>
      <w:r>
        <w:rPr>
          <w:rFonts w:ascii="Traditional Arabic" w:eastAsia="Times New Roman" w:hAnsi="Traditional Arabic" w:cs="Traditional Arabic" w:hint="cs"/>
          <w:noProof/>
          <w:sz w:val="32"/>
          <w:szCs w:val="32"/>
          <w:rtl/>
          <w:lang w:eastAsia="ar-SA" w:bidi="ar-DZ"/>
        </w:rPr>
        <w:t>جزء من</w:t>
      </w:r>
      <w:r w:rsidRPr="00F66AA5">
        <w:rPr>
          <w:rFonts w:ascii="Traditional Arabic" w:eastAsia="Times New Roman" w:hAnsi="Traditional Arabic" w:cs="Traditional Arabic"/>
          <w:noProof/>
          <w:sz w:val="32"/>
          <w:szCs w:val="32"/>
          <w:rtl/>
          <w:lang w:eastAsia="ar-SA" w:bidi="ar-DZ"/>
        </w:rPr>
        <w:t xml:space="preserve"> التدفقات النقدية المتوقع </w:t>
      </w:r>
      <w:r>
        <w:rPr>
          <w:rFonts w:ascii="Traditional Arabic" w:eastAsia="Times New Roman" w:hAnsi="Traditional Arabic" w:cs="Traditional Arabic" w:hint="cs"/>
          <w:noProof/>
          <w:sz w:val="32"/>
          <w:szCs w:val="32"/>
          <w:rtl/>
          <w:lang w:eastAsia="ar-SA" w:bidi="ar-DZ"/>
        </w:rPr>
        <w:t>سدادها من</w:t>
      </w:r>
      <w:r w:rsidRPr="00F66AA5">
        <w:rPr>
          <w:rFonts w:ascii="Traditional Arabic" w:eastAsia="Times New Roman" w:hAnsi="Traditional Arabic" w:cs="Traditional Arabic"/>
          <w:noProof/>
          <w:sz w:val="32"/>
          <w:szCs w:val="32"/>
          <w:rtl/>
          <w:lang w:eastAsia="ar-SA" w:bidi="ar-DZ"/>
        </w:rPr>
        <w:t xml:space="preserve"> المجمع وشيك الحدوث</w:t>
      </w:r>
      <w:r>
        <w:rPr>
          <w:rFonts w:ascii="Traditional Arabic" w:eastAsia="Times New Roman" w:hAnsi="Traditional Arabic" w:cs="Traditional Arabic"/>
          <w:noProof/>
          <w:sz w:val="32"/>
          <w:szCs w:val="32"/>
          <w:rtl/>
          <w:lang w:eastAsia="ar-SA" w:bidi="ar-DZ"/>
        </w:rPr>
        <w:t xml:space="preserve"> بسبب التخلف عن سداد القروض</w:t>
      </w:r>
      <w:r w:rsidRPr="00F66AA5">
        <w:rPr>
          <w:rFonts w:ascii="Traditional Arabic" w:eastAsia="Times New Roman" w:hAnsi="Traditional Arabic" w:cs="Traditional Arabic"/>
          <w:noProof/>
          <w:sz w:val="32"/>
          <w:szCs w:val="32"/>
          <w:rtl/>
          <w:lang w:eastAsia="ar-SA" w:bidi="ar-DZ"/>
        </w:rPr>
        <w:t>، فعندئذ يتعين على حائزي شريحة أسهم رأس المال أن يتحملوا أولا نقص المدفوعات، وذلك بعد استنفا</w:t>
      </w:r>
      <w:r>
        <w:rPr>
          <w:rFonts w:ascii="Traditional Arabic" w:eastAsia="Times New Roman" w:hAnsi="Traditional Arabic" w:cs="Traditional Arabic"/>
          <w:noProof/>
          <w:sz w:val="32"/>
          <w:szCs w:val="32"/>
          <w:rtl/>
          <w:lang w:eastAsia="ar-SA" w:bidi="ar-DZ"/>
        </w:rPr>
        <w:t>ذ احتياطي التدفقات النقدية</w:t>
      </w:r>
      <w:r>
        <w:rPr>
          <w:rFonts w:ascii="Traditional Arabic" w:eastAsia="Times New Roman" w:hAnsi="Traditional Arabic" w:cs="Traditional Arabic" w:hint="cs"/>
          <w:noProof/>
          <w:sz w:val="32"/>
          <w:szCs w:val="32"/>
          <w:rtl/>
          <w:lang w:eastAsia="ar-SA" w:bidi="ar-DZ"/>
        </w:rPr>
        <w:t>،</w:t>
      </w:r>
      <w:r w:rsidRPr="00F66AA5">
        <w:rPr>
          <w:rFonts w:ascii="Traditional Arabic" w:eastAsia="Times New Roman" w:hAnsi="Traditional Arabic" w:cs="Traditional Arabic"/>
          <w:noProof/>
          <w:sz w:val="32"/>
          <w:szCs w:val="32"/>
          <w:rtl/>
          <w:lang w:eastAsia="ar-SA" w:bidi="ar-DZ"/>
        </w:rPr>
        <w:t xml:space="preserve"> وإذا نقصت المدفوعات في المجمع بدرجة أكبر، لا تحصل المجموعة التالية من الحائزين (</w:t>
      </w:r>
      <w:r w:rsidRPr="00DD4B8F">
        <w:rPr>
          <w:rFonts w:ascii="Traditional Arabic" w:hAnsi="Traditional Arabic" w:cs="Traditional Arabic"/>
          <w:sz w:val="32"/>
          <w:szCs w:val="32"/>
          <w:rtl/>
        </w:rPr>
        <w:t xml:space="preserve">التزامات الدين المضمونة للتمويل المهيكل </w:t>
      </w:r>
      <w:r w:rsidRPr="00DD4B8F">
        <w:rPr>
          <w:rFonts w:ascii="Traditional Arabic" w:hAnsi="Traditional Arabic" w:cs="Traditional Arabic" w:hint="cs"/>
          <w:sz w:val="32"/>
          <w:szCs w:val="32"/>
          <w:rtl/>
        </w:rPr>
        <w:t>ذات التصنيف المتوسط</w:t>
      </w:r>
      <w:r>
        <w:rPr>
          <w:rFonts w:ascii="Traditional Arabic" w:hAnsi="Traditional Arabic" w:cs="Traditional Arabic" w:hint="cs"/>
          <w:sz w:val="32"/>
          <w:szCs w:val="32"/>
          <w:rtl/>
        </w:rPr>
        <w:t>)</w:t>
      </w:r>
      <w:r w:rsidRPr="00DD4B8F">
        <w:rPr>
          <w:rFonts w:ascii="Traditional Arabic" w:eastAsia="Times New Roman" w:hAnsi="Traditional Arabic" w:cs="Traditional Arabic"/>
          <w:noProof/>
          <w:sz w:val="32"/>
          <w:szCs w:val="32"/>
          <w:rtl/>
          <w:lang w:eastAsia="ar-SA" w:bidi="ar-DZ"/>
        </w:rPr>
        <w:t xml:space="preserve"> على مدفوعات كاملة</w:t>
      </w:r>
      <w:r>
        <w:rPr>
          <w:rFonts w:ascii="Traditional Arabic" w:eastAsia="Times New Roman" w:hAnsi="Traditional Arabic" w:cs="Traditional Arabic" w:hint="cs"/>
          <w:noProof/>
          <w:sz w:val="32"/>
          <w:szCs w:val="32"/>
          <w:rtl/>
          <w:lang w:eastAsia="ar-SA" w:bidi="ar-DZ"/>
        </w:rPr>
        <w:t>،</w:t>
      </w:r>
      <w:r w:rsidRPr="00013F5C">
        <w:rPr>
          <w:rFonts w:ascii="Traditional Arabic" w:eastAsia="Times New Roman" w:hAnsi="Traditional Arabic" w:cs="Traditional Arabic"/>
          <w:noProof/>
          <w:sz w:val="32"/>
          <w:szCs w:val="32"/>
          <w:rtl/>
          <w:lang w:eastAsia="ar-SA" w:bidi="ar-DZ"/>
        </w:rPr>
        <w:t xml:space="preserve"> </w:t>
      </w:r>
      <w:r>
        <w:rPr>
          <w:rFonts w:ascii="Traditional Arabic" w:eastAsia="Times New Roman" w:hAnsi="Traditional Arabic" w:cs="Traditional Arabic" w:hint="cs"/>
          <w:noProof/>
          <w:sz w:val="32"/>
          <w:szCs w:val="32"/>
          <w:rtl/>
          <w:lang w:eastAsia="ar-SA" w:bidi="ar-DZ"/>
        </w:rPr>
        <w:t>ف</w:t>
      </w:r>
      <w:r w:rsidRPr="00885733">
        <w:rPr>
          <w:rFonts w:ascii="Traditional Arabic" w:eastAsia="Times New Roman" w:hAnsi="Traditional Arabic" w:cs="Traditional Arabic"/>
          <w:noProof/>
          <w:sz w:val="32"/>
          <w:szCs w:val="32"/>
          <w:rtl/>
          <w:lang w:eastAsia="ar-SA" w:bidi="ar-DZ"/>
        </w:rPr>
        <w:t>خسائر المحفظة</w:t>
      </w:r>
      <w:r w:rsidRPr="00013F5C">
        <w:rPr>
          <w:rFonts w:ascii="Traditional Arabic" w:eastAsia="Times New Roman" w:hAnsi="Traditional Arabic" w:cs="Traditional Arabic"/>
          <w:noProof/>
          <w:sz w:val="32"/>
          <w:szCs w:val="32"/>
          <w:rtl/>
          <w:lang w:eastAsia="ar-SA" w:bidi="ar-DZ"/>
        </w:rPr>
        <w:t xml:space="preserve"> </w:t>
      </w:r>
      <w:r w:rsidRPr="00885733">
        <w:rPr>
          <w:rFonts w:ascii="Traditional Arabic" w:eastAsia="Times New Roman" w:hAnsi="Traditional Arabic" w:cs="Traditional Arabic"/>
          <w:noProof/>
          <w:sz w:val="32"/>
          <w:szCs w:val="32"/>
          <w:rtl/>
          <w:lang w:eastAsia="ar-SA" w:bidi="ar-DZ"/>
        </w:rPr>
        <w:t>المتوقعة تتركز في الشريحة الأ</w:t>
      </w:r>
      <w:r>
        <w:rPr>
          <w:rFonts w:ascii="Traditional Arabic" w:eastAsia="Times New Roman" w:hAnsi="Traditional Arabic" w:cs="Traditional Arabic"/>
          <w:noProof/>
          <w:sz w:val="32"/>
          <w:szCs w:val="32"/>
          <w:rtl/>
          <w:lang w:eastAsia="ar-SA" w:bidi="ar-DZ"/>
        </w:rPr>
        <w:t>دنى من حيث التصنيف الائتماني، و</w:t>
      </w:r>
      <w:r w:rsidRPr="00885733">
        <w:rPr>
          <w:rFonts w:ascii="Traditional Arabic" w:eastAsia="Times New Roman" w:hAnsi="Traditional Arabic" w:cs="Traditional Arabic"/>
          <w:noProof/>
          <w:sz w:val="32"/>
          <w:szCs w:val="32"/>
          <w:rtl/>
          <w:lang w:eastAsia="ar-SA" w:bidi="ar-DZ"/>
        </w:rPr>
        <w:t>التي تمث</w:t>
      </w:r>
      <w:r>
        <w:rPr>
          <w:rFonts w:ascii="Traditional Arabic" w:eastAsia="Times New Roman" w:hAnsi="Traditional Arabic" w:cs="Traditional Arabic"/>
          <w:noProof/>
          <w:sz w:val="32"/>
          <w:szCs w:val="32"/>
          <w:rtl/>
          <w:lang w:eastAsia="ar-SA" w:bidi="ar-DZ"/>
        </w:rPr>
        <w:t>ل الشريحة الأصغر من حيث الحجم و</w:t>
      </w:r>
      <w:r w:rsidRPr="00885733">
        <w:rPr>
          <w:rFonts w:ascii="Traditional Arabic" w:eastAsia="Times New Roman" w:hAnsi="Traditional Arabic" w:cs="Traditional Arabic"/>
          <w:noProof/>
          <w:sz w:val="32"/>
          <w:szCs w:val="32"/>
          <w:rtl/>
          <w:lang w:eastAsia="ar-SA" w:bidi="ar-DZ"/>
        </w:rPr>
        <w:t>الأعلى تصنيفا من حيث الخسائر المتوقعة</w:t>
      </w:r>
      <w:r>
        <w:rPr>
          <w:rFonts w:ascii="Traditional Arabic" w:eastAsia="Times New Roman" w:hAnsi="Traditional Arabic" w:cs="Traditional Arabic" w:hint="cs"/>
          <w:noProof/>
          <w:sz w:val="32"/>
          <w:szCs w:val="32"/>
          <w:rtl/>
          <w:lang w:eastAsia="ar-SA" w:bidi="ar-DZ"/>
        </w:rPr>
        <w:t xml:space="preserve">. </w:t>
      </w:r>
      <w:r w:rsidRPr="002142EB">
        <w:rPr>
          <w:rFonts w:ascii="Traditional Arabic" w:eastAsia="Times New Roman" w:hAnsi="Traditional Arabic" w:cs="Traditional Arabic"/>
          <w:noProof/>
          <w:sz w:val="32"/>
          <w:szCs w:val="32"/>
          <w:rtl/>
          <w:lang w:eastAsia="ar-SA" w:bidi="ar-DZ"/>
        </w:rPr>
        <w:t xml:space="preserve">وعلى نحو نموذجي، يتم تشكيل الشرائح الفوق الممتازة والشرائح الممتازة </w:t>
      </w:r>
      <w:r>
        <w:rPr>
          <w:rFonts w:ascii="Traditional Arabic" w:eastAsia="Times New Roman" w:hAnsi="Traditional Arabic" w:cs="Traditional Arabic" w:hint="cs"/>
          <w:noProof/>
          <w:sz w:val="32"/>
          <w:szCs w:val="32"/>
          <w:rtl/>
          <w:lang w:eastAsia="ar-SA" w:bidi="ar-DZ"/>
        </w:rPr>
        <w:t>في</w:t>
      </w:r>
      <w:r>
        <w:rPr>
          <w:rFonts w:ascii="Traditional Arabic" w:eastAsia="Times New Roman" w:hAnsi="Traditional Arabic" w:cs="Traditional Arabic"/>
          <w:noProof/>
          <w:sz w:val="32"/>
          <w:szCs w:val="32"/>
          <w:rtl/>
          <w:lang w:eastAsia="ar-SA" w:bidi="ar-DZ"/>
        </w:rPr>
        <w:t xml:space="preserve"> </w:t>
      </w:r>
      <w:r>
        <w:rPr>
          <w:rFonts w:ascii="Traditional Arabic" w:eastAsia="Times New Roman" w:hAnsi="Traditional Arabic" w:cs="Traditional Arabic" w:hint="cs"/>
          <w:noProof/>
          <w:sz w:val="32"/>
          <w:szCs w:val="32"/>
          <w:rtl/>
          <w:lang w:eastAsia="ar-SA" w:bidi="ar-DZ"/>
        </w:rPr>
        <w:t>ا</w:t>
      </w:r>
      <w:r w:rsidRPr="002142EB">
        <w:rPr>
          <w:rFonts w:ascii="Traditional Arabic" w:eastAsia="Times New Roman" w:hAnsi="Traditional Arabic" w:cs="Traditional Arabic"/>
          <w:noProof/>
          <w:sz w:val="32"/>
          <w:szCs w:val="32"/>
          <w:rtl/>
          <w:lang w:eastAsia="ar-SA" w:bidi="ar-DZ"/>
        </w:rPr>
        <w:t>لمرتبة الائتمانية أ ثلاثية، مما يعني جعل احتمال عدم الحصول على المدفوعات بها جد منخفض.</w:t>
      </w:r>
      <w:r>
        <w:rPr>
          <w:rFonts w:ascii="Traditional Arabic" w:eastAsia="Times New Roman" w:hAnsi="Traditional Arabic" w:cs="Traditional Arabic" w:hint="cs"/>
          <w:noProof/>
          <w:sz w:val="32"/>
          <w:szCs w:val="32"/>
          <w:rtl/>
          <w:lang w:eastAsia="ar-SA" w:bidi="ar-DZ"/>
        </w:rPr>
        <w:t xml:space="preserve"> </w:t>
      </w:r>
      <w:r w:rsidRPr="00D82F10">
        <w:rPr>
          <w:rFonts w:ascii="Traditional Arabic" w:eastAsia="Times New Roman" w:hAnsi="Traditional Arabic" w:cs="Traditional Arabic"/>
          <w:noProof/>
          <w:sz w:val="32"/>
          <w:szCs w:val="32"/>
          <w:rtl/>
          <w:lang w:eastAsia="ar-SA" w:bidi="ar-DZ"/>
        </w:rPr>
        <w:t xml:space="preserve">      </w:t>
      </w:r>
    </w:p>
    <w:p w:rsidR="00EF7BD4" w:rsidRDefault="00EF7BD4" w:rsidP="00AF7DC6">
      <w:pPr>
        <w:tabs>
          <w:tab w:val="right" w:pos="567"/>
        </w:tabs>
        <w:bidi/>
        <w:spacing w:after="0"/>
        <w:jc w:val="lowKashida"/>
        <w:rPr>
          <w:rFonts w:ascii="Traditional Arabic" w:eastAsia="Times New Roman" w:hAnsi="Traditional Arabic" w:cs="Traditional Arabic"/>
          <w:noProof/>
          <w:sz w:val="32"/>
          <w:szCs w:val="32"/>
          <w:rtl/>
          <w:lang w:eastAsia="ar-SA" w:bidi="ar-DZ"/>
        </w:rPr>
      </w:pPr>
      <w:r w:rsidRPr="00D82F10">
        <w:rPr>
          <w:rFonts w:ascii="Traditional Arabic" w:eastAsia="Times New Roman" w:hAnsi="Traditional Arabic" w:cs="Traditional Arabic"/>
          <w:noProof/>
          <w:sz w:val="32"/>
          <w:szCs w:val="32"/>
          <w:rtl/>
          <w:lang w:eastAsia="ar-SA" w:bidi="ar-DZ"/>
        </w:rPr>
        <w:t xml:space="preserve"> </w:t>
      </w:r>
    </w:p>
    <w:p w:rsidR="001E6651" w:rsidRDefault="001E6651" w:rsidP="001E6651">
      <w:pPr>
        <w:tabs>
          <w:tab w:val="right" w:pos="567"/>
        </w:tabs>
        <w:bidi/>
        <w:spacing w:after="0"/>
        <w:jc w:val="lowKashida"/>
        <w:rPr>
          <w:rFonts w:ascii="Traditional Arabic" w:eastAsia="Times New Roman" w:hAnsi="Traditional Arabic" w:cs="Traditional Arabic"/>
          <w:noProof/>
          <w:sz w:val="32"/>
          <w:szCs w:val="32"/>
          <w:rtl/>
          <w:lang w:eastAsia="ar-SA" w:bidi="ar-DZ"/>
        </w:rPr>
      </w:pPr>
    </w:p>
    <w:p w:rsidR="00EF7BD4" w:rsidRPr="008561F0" w:rsidRDefault="00745183" w:rsidP="0067613E">
      <w:pPr>
        <w:bidi/>
        <w:jc w:val="center"/>
        <w:rPr>
          <w:rFonts w:ascii="Traditional Arabic" w:eastAsia="Times New Roman" w:hAnsi="Traditional Arabic" w:cs="Traditional Arabic"/>
          <w:noProof/>
          <w:sz w:val="32"/>
          <w:szCs w:val="32"/>
          <w:rtl/>
          <w:lang w:eastAsia="ar-SA" w:bidi="ar-DZ"/>
        </w:rPr>
      </w:pPr>
      <w:r w:rsidRPr="00745183">
        <w:rPr>
          <w:rFonts w:ascii="Times New Roman" w:eastAsia="Times New Roman" w:hAnsi="Times New Roman" w:cs="Simplified Arabic"/>
          <w:noProof/>
          <w:sz w:val="32"/>
          <w:szCs w:val="32"/>
          <w:rtl/>
        </w:rPr>
        <w:lastRenderedPageBreak/>
        <w:pict>
          <v:rect id="_x0000_s1047" style="position:absolute;left:0;text-align:left;margin-left:141.4pt;margin-top:22.35pt;width:217.4pt;height:25pt;z-index:251636736" stroked="f">
            <v:textbox style="mso-next-textbox:#_x0000_s1047">
              <w:txbxContent>
                <w:p w:rsidR="00205648" w:rsidRPr="00912634" w:rsidRDefault="00205648" w:rsidP="00EF7BD4">
                  <w:pPr>
                    <w:bidi/>
                    <w:jc w:val="center"/>
                    <w:rPr>
                      <w:rFonts w:ascii="Traditional Arabic" w:hAnsi="Traditional Arabic" w:cs="Traditional Arabic"/>
                      <w:sz w:val="28"/>
                      <w:szCs w:val="28"/>
                    </w:rPr>
                  </w:pPr>
                  <w:r w:rsidRPr="00912634">
                    <w:rPr>
                      <w:rFonts w:ascii="Traditional Arabic" w:hAnsi="Traditional Arabic" w:cs="Traditional Arabic"/>
                      <w:sz w:val="28"/>
                      <w:szCs w:val="28"/>
                      <w:rtl/>
                    </w:rPr>
                    <w:t>التزامات الدين المضمونة للتمويل ذات التصنيف الأعلى</w:t>
                  </w:r>
                </w:p>
              </w:txbxContent>
            </v:textbox>
          </v:rect>
        </w:pict>
      </w:r>
      <w:r w:rsidR="00EF7BD4" w:rsidRPr="008561F0">
        <w:rPr>
          <w:rFonts w:ascii="Traditional Arabic" w:eastAsia="Times New Roman" w:hAnsi="Traditional Arabic" w:cs="Traditional Arabic"/>
          <w:noProof/>
          <w:sz w:val="32"/>
          <w:szCs w:val="32"/>
          <w:rtl/>
          <w:lang w:eastAsia="ar-SA" w:bidi="ar-DZ"/>
        </w:rPr>
        <w:t xml:space="preserve">الشكل رقم </w:t>
      </w:r>
      <w:r w:rsidR="00F2276E">
        <w:rPr>
          <w:rFonts w:ascii="Traditional Arabic" w:eastAsia="Times New Roman" w:hAnsi="Traditional Arabic" w:cs="Traditional Arabic" w:hint="cs"/>
          <w:noProof/>
          <w:sz w:val="24"/>
          <w:szCs w:val="24"/>
          <w:rtl/>
          <w:lang w:eastAsia="ar-SA" w:bidi="ar-DZ"/>
        </w:rPr>
        <w:t>17</w:t>
      </w:r>
      <w:r w:rsidR="00EF7BD4" w:rsidRPr="008561F0">
        <w:rPr>
          <w:rFonts w:ascii="Traditional Arabic" w:eastAsia="Times New Roman" w:hAnsi="Traditional Arabic" w:cs="Traditional Arabic"/>
          <w:noProof/>
          <w:sz w:val="24"/>
          <w:szCs w:val="24"/>
          <w:rtl/>
          <w:lang w:eastAsia="ar-SA" w:bidi="ar-DZ"/>
        </w:rPr>
        <w:t xml:space="preserve"> </w:t>
      </w:r>
      <w:r w:rsidR="00EF7BD4" w:rsidRPr="008561F0">
        <w:rPr>
          <w:rFonts w:ascii="Traditional Arabic" w:eastAsia="Times New Roman" w:hAnsi="Traditional Arabic" w:cs="Traditional Arabic"/>
          <w:noProof/>
          <w:sz w:val="32"/>
          <w:szCs w:val="32"/>
          <w:rtl/>
          <w:lang w:eastAsia="ar-SA" w:bidi="ar-DZ"/>
        </w:rPr>
        <w:t xml:space="preserve">: تقسيمات المنتجات الائتمانية </w:t>
      </w:r>
      <w:r w:rsidR="00EF7BD4" w:rsidRPr="008561F0">
        <w:rPr>
          <w:rFonts w:ascii="Traditional Arabic" w:eastAsia="Times New Roman" w:hAnsi="Traditional Arabic" w:cs="Traditional Arabic" w:hint="cs"/>
          <w:noProof/>
          <w:sz w:val="32"/>
          <w:szCs w:val="32"/>
          <w:rtl/>
          <w:lang w:eastAsia="ar-SA" w:bidi="ar-DZ"/>
        </w:rPr>
        <w:t xml:space="preserve">المهيكلة لشرائح </w:t>
      </w:r>
      <w:r w:rsidR="008561F0">
        <w:rPr>
          <w:rFonts w:ascii="Traditional Arabic" w:eastAsia="Times New Roman" w:hAnsi="Traditional Arabic" w:cs="Traditional Arabic"/>
          <w:noProof/>
          <w:sz w:val="32"/>
          <w:szCs w:val="32"/>
          <w:rtl/>
          <w:lang w:eastAsia="ar-SA" w:bidi="ar-DZ"/>
        </w:rPr>
        <w:t>حسب التصنيف الدولي</w:t>
      </w:r>
    </w:p>
    <w:p w:rsidR="00EF7BD4" w:rsidRPr="004470E5" w:rsidRDefault="00745183" w:rsidP="00EF7BD4">
      <w:pPr>
        <w:bidi/>
        <w:spacing w:after="40"/>
        <w:jc w:val="center"/>
        <w:rPr>
          <w:rFonts w:ascii="Times New Roman" w:eastAsia="Times New Roman" w:hAnsi="Times New Roman" w:cs="Simplified Arabic"/>
          <w:b/>
          <w:bCs/>
          <w:noProof/>
          <w:sz w:val="24"/>
          <w:szCs w:val="24"/>
          <w:rtl/>
          <w:lang w:eastAsia="ar-SA" w:bidi="ar-DZ"/>
        </w:rPr>
      </w:pPr>
      <w:r w:rsidRPr="00745183">
        <w:rPr>
          <w:rFonts w:ascii="Times New Roman" w:eastAsia="Times New Roman" w:hAnsi="Times New Roman" w:cs="Simplified Arabic"/>
          <w:noProof/>
          <w:sz w:val="28"/>
          <w:szCs w:val="28"/>
          <w:rtl/>
        </w:rPr>
        <w:pict>
          <v:rect id="_x0000_s1069" style="position:absolute;left:0;text-align:left;margin-left:278.95pt;margin-top:12.65pt;width:38.35pt;height:24.6pt;z-index:251637760">
            <v:textbox style="mso-next-textbox:#_x0000_s1069">
              <w:txbxContent>
                <w:p w:rsidR="00205648" w:rsidRPr="00A549E4" w:rsidRDefault="00205648" w:rsidP="00EF7BD4">
                  <w:pPr>
                    <w:bidi/>
                    <w:jc w:val="center"/>
                  </w:pPr>
                  <w:r>
                    <w:rPr>
                      <w:rFonts w:hint="cs"/>
                      <w:rtl/>
                    </w:rPr>
                    <w:t>88% 88</w:t>
                  </w:r>
                  <w:r>
                    <w:t>80</w:t>
                  </w:r>
                </w:p>
              </w:txbxContent>
            </v:textbox>
          </v:rect>
        </w:pict>
      </w:r>
      <w:r w:rsidRPr="00745183">
        <w:rPr>
          <w:rFonts w:ascii="Times New Roman" w:eastAsia="Times New Roman" w:hAnsi="Times New Roman" w:cs="Simplified Arabic"/>
          <w:noProof/>
          <w:sz w:val="28"/>
          <w:szCs w:val="28"/>
          <w:rtl/>
        </w:rPr>
        <w:pict>
          <v:rect id="_x0000_s1067" style="position:absolute;left:0;text-align:left;margin-left:194.55pt;margin-top:12.65pt;width:84.4pt;height:24.6pt;z-index:251638784">
            <v:textbox style="mso-next-textbox:#_x0000_s1067">
              <w:txbxContent>
                <w:p w:rsidR="00205648" w:rsidRPr="001F2237" w:rsidRDefault="00205648" w:rsidP="00EF7BD4">
                  <w:pPr>
                    <w:jc w:val="center"/>
                    <w:rPr>
                      <w:rFonts w:ascii="Traditional Arabic" w:hAnsi="Traditional Arabic" w:cs="Traditional Arabic"/>
                      <w:sz w:val="28"/>
                      <w:szCs w:val="28"/>
                      <w:rtl/>
                      <w:lang w:bidi="ar-DZ"/>
                    </w:rPr>
                  </w:pPr>
                  <w:r w:rsidRPr="001F2237">
                    <w:rPr>
                      <w:rFonts w:ascii="Traditional Arabic" w:hAnsi="Traditional Arabic" w:cs="Traditional Arabic"/>
                      <w:sz w:val="28"/>
                      <w:szCs w:val="28"/>
                      <w:rtl/>
                      <w:lang w:bidi="ar-DZ"/>
                    </w:rPr>
                    <w:t>أ أ أ ممتاز</w:t>
                  </w:r>
                </w:p>
              </w:txbxContent>
            </v:textbox>
          </v:rect>
        </w:pict>
      </w:r>
    </w:p>
    <w:p w:rsidR="00EF7BD4" w:rsidRPr="00F15C99" w:rsidRDefault="00745183" w:rsidP="00EF7BD4">
      <w:pPr>
        <w:bidi/>
        <w:spacing w:after="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70" style="position:absolute;left:0;text-align:left;margin-left:278.95pt;margin-top:12.3pt;width:38.35pt;height:24.55pt;z-index:251639808">
            <v:textbox style="mso-next-textbox:#_x0000_s1070">
              <w:txbxContent>
                <w:p w:rsidR="00205648" w:rsidRPr="00A549E4" w:rsidRDefault="00205648" w:rsidP="00EF7BD4">
                  <w:pPr>
                    <w:jc w:val="center"/>
                  </w:pPr>
                  <w:r>
                    <w:rPr>
                      <w:rFonts w:hint="cs"/>
                      <w:rtl/>
                    </w:rPr>
                    <w:t xml:space="preserve">% </w:t>
                  </w:r>
                  <w:r>
                    <w:t>5</w:t>
                  </w:r>
                </w:p>
              </w:txbxContent>
            </v:textbox>
          </v:rect>
        </w:pict>
      </w:r>
      <w:r>
        <w:rPr>
          <w:rFonts w:ascii="Times New Roman" w:eastAsia="Times New Roman" w:hAnsi="Times New Roman" w:cs="Simplified Arabic"/>
          <w:noProof/>
          <w:sz w:val="28"/>
          <w:szCs w:val="28"/>
          <w:rtl/>
        </w:rPr>
        <w:pict>
          <v:rect id="_x0000_s1068" style="position:absolute;left:0;text-align:left;margin-left:194.55pt;margin-top:12.3pt;width:84.4pt;height:24.55pt;z-index:251640832">
            <v:textbox style="mso-next-textbox:#_x0000_s1068">
              <w:txbxContent>
                <w:p w:rsidR="00205648" w:rsidRPr="001F2237" w:rsidRDefault="00205648" w:rsidP="00EF7BD4">
                  <w:pPr>
                    <w:jc w:val="center"/>
                    <w:rPr>
                      <w:rFonts w:ascii="Traditional Arabic" w:hAnsi="Traditional Arabic" w:cs="Traditional Arabic"/>
                      <w:sz w:val="28"/>
                      <w:szCs w:val="28"/>
                      <w:lang w:bidi="ar-DZ"/>
                    </w:rPr>
                  </w:pPr>
                  <w:r w:rsidRPr="001F2237">
                    <w:rPr>
                      <w:rFonts w:ascii="Traditional Arabic" w:hAnsi="Traditional Arabic" w:cs="Traditional Arabic"/>
                      <w:sz w:val="28"/>
                      <w:szCs w:val="28"/>
                      <w:rtl/>
                      <w:lang w:bidi="ar-DZ"/>
                    </w:rPr>
                    <w:t>أ أ أ ثانوي</w:t>
                  </w:r>
                </w:p>
              </w:txbxContent>
            </v:textbox>
          </v:rect>
        </w:pict>
      </w:r>
      <w:r>
        <w:rPr>
          <w:rFonts w:ascii="Times New Roman" w:eastAsia="Times New Roman" w:hAnsi="Times New Roman" w:cs="Simplified Arabic"/>
          <w:noProof/>
          <w:sz w:val="28"/>
          <w:szCs w:val="28"/>
          <w:rtl/>
        </w:rPr>
        <w:pict>
          <v:rect id="_x0000_s1046" style="position:absolute;left:0;text-align:left;margin-left:18pt;margin-top:27.45pt;width:118.5pt;height:25.2pt;z-index:251641856" strokecolor="white [3212]">
            <v:textbox style="mso-next-textbox:#_x0000_s1046">
              <w:txbxContent>
                <w:p w:rsidR="00205648" w:rsidRPr="00ED6C82" w:rsidRDefault="00205648" w:rsidP="00EF7BD4">
                  <w:pPr>
                    <w:jc w:val="both"/>
                    <w:rPr>
                      <w:rFonts w:ascii="Traditional Arabic" w:hAnsi="Traditional Arabic" w:cs="Traditional Arabic"/>
                      <w:sz w:val="28"/>
                      <w:szCs w:val="28"/>
                      <w:lang w:bidi="ar-DZ"/>
                    </w:rPr>
                  </w:pPr>
                  <w:r w:rsidRPr="00ED6C82">
                    <w:rPr>
                      <w:rFonts w:ascii="Traditional Arabic" w:hAnsi="Traditional Arabic" w:cs="Traditional Arabic"/>
                      <w:sz w:val="28"/>
                      <w:szCs w:val="28"/>
                      <w:rtl/>
                      <w:lang w:bidi="ar-DZ"/>
                    </w:rPr>
                    <w:t>قروض الرهن دون الممتاز</w:t>
                  </w:r>
                </w:p>
              </w:txbxContent>
            </v:textbox>
          </v:rect>
        </w:pict>
      </w:r>
    </w:p>
    <w:p w:rsidR="00EF7BD4" w:rsidRPr="00F15C99" w:rsidRDefault="00745183" w:rsidP="00EF7BD4">
      <w:pPr>
        <w:tabs>
          <w:tab w:val="right" w:pos="6378"/>
          <w:tab w:val="right" w:pos="6520"/>
        </w:tabs>
        <w:bidi/>
        <w:spacing w:after="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shape id="_x0000_s1097" type="#_x0000_t32" style="position:absolute;left:0;text-align:left;margin-left:72.5pt;margin-top:23.95pt;width:0;height:20.65pt;z-index:251644928" o:connectortype="straight">
            <v:stroke endarrow="block"/>
          </v:shape>
        </w:pict>
      </w:r>
      <w:r>
        <w:rPr>
          <w:rFonts w:ascii="Times New Roman" w:eastAsia="Times New Roman" w:hAnsi="Times New Roman" w:cs="Simplified Arabic"/>
          <w:noProof/>
          <w:sz w:val="28"/>
          <w:szCs w:val="28"/>
          <w:rtl/>
        </w:rPr>
        <w:pict>
          <v:rect id="_x0000_s1063" style="position:absolute;left:0;text-align:left;margin-left:278.95pt;margin-top:8.2pt;width:38.35pt;height:25.25pt;z-index:251642880">
            <v:textbox style="mso-next-textbox:#_x0000_s1063">
              <w:txbxContent>
                <w:p w:rsidR="00205648" w:rsidRPr="00A549E4" w:rsidRDefault="00205648" w:rsidP="00EF7BD4">
                  <w:pPr>
                    <w:jc w:val="center"/>
                  </w:pPr>
                  <w:r>
                    <w:rPr>
                      <w:rFonts w:hint="cs"/>
                      <w:rtl/>
                    </w:rPr>
                    <w:t xml:space="preserve">% </w:t>
                  </w:r>
                  <w:r>
                    <w:t>3</w:t>
                  </w:r>
                </w:p>
              </w:txbxContent>
            </v:textbox>
          </v:rect>
        </w:pict>
      </w:r>
      <w:r>
        <w:rPr>
          <w:rFonts w:ascii="Times New Roman" w:eastAsia="Times New Roman" w:hAnsi="Times New Roman" w:cs="Simplified Arabic"/>
          <w:noProof/>
          <w:sz w:val="28"/>
          <w:szCs w:val="28"/>
          <w:rtl/>
        </w:rPr>
        <w:pict>
          <v:rect id="_x0000_s1059" style="position:absolute;left:0;text-align:left;margin-left:194.55pt;margin-top:8.2pt;width:84.4pt;height:25.25pt;z-index:251643904">
            <v:textbox style="mso-next-textbox:#_x0000_s1059">
              <w:txbxContent>
                <w:p w:rsidR="00205648" w:rsidRPr="001F2237" w:rsidRDefault="00205648" w:rsidP="00EF7BD4">
                  <w:pPr>
                    <w:jc w:val="center"/>
                    <w:rPr>
                      <w:rFonts w:ascii="Traditional Arabic" w:hAnsi="Traditional Arabic" w:cs="Traditional Arabic"/>
                      <w:sz w:val="28"/>
                      <w:szCs w:val="28"/>
                      <w:lang w:bidi="ar-DZ"/>
                    </w:rPr>
                  </w:pPr>
                  <w:r w:rsidRPr="001F2237">
                    <w:rPr>
                      <w:rFonts w:ascii="Traditional Arabic" w:hAnsi="Traditional Arabic" w:cs="Traditional Arabic"/>
                      <w:sz w:val="28"/>
                      <w:szCs w:val="28"/>
                      <w:rtl/>
                      <w:lang w:bidi="ar-DZ"/>
                    </w:rPr>
                    <w:t xml:space="preserve">أ أ </w:t>
                  </w:r>
                </w:p>
              </w:txbxContent>
            </v:textbox>
          </v:rect>
        </w:pict>
      </w:r>
    </w:p>
    <w:p w:rsidR="00EF7BD4" w:rsidRPr="00F15C99" w:rsidRDefault="00745183" w:rsidP="00EF7BD4">
      <w:pPr>
        <w:tabs>
          <w:tab w:val="right" w:pos="5103"/>
        </w:tabs>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48" style="position:absolute;left:0;text-align:left;margin-left:18pt;margin-top:17.85pt;width:118.5pt;height:27.25pt;z-index:251645952" strokecolor="white [3212]">
            <v:textbox style="mso-next-textbox:#_x0000_s1048">
              <w:txbxContent>
                <w:p w:rsidR="00205648" w:rsidRPr="00ED6C82" w:rsidRDefault="00205648" w:rsidP="00EF7BD4">
                  <w:pPr>
                    <w:bidi/>
                    <w:jc w:val="center"/>
                    <w:rPr>
                      <w:rFonts w:ascii="Traditional Arabic" w:hAnsi="Traditional Arabic" w:cs="Traditional Arabic"/>
                      <w:sz w:val="28"/>
                      <w:szCs w:val="28"/>
                      <w:lang w:bidi="ar-DZ"/>
                    </w:rPr>
                  </w:pPr>
                  <w:r w:rsidRPr="00ED6C82">
                    <w:rPr>
                      <w:rFonts w:ascii="Traditional Arabic" w:hAnsi="Traditional Arabic" w:cs="Traditional Arabic"/>
                      <w:sz w:val="28"/>
                      <w:szCs w:val="28"/>
                      <w:rtl/>
                      <w:lang w:bidi="ar-DZ"/>
                    </w:rPr>
                    <w:t>سندات الرهن دون الممتاز</w:t>
                  </w:r>
                </w:p>
              </w:txbxContent>
            </v:textbox>
          </v:rect>
        </w:pict>
      </w:r>
      <w:r>
        <w:rPr>
          <w:rFonts w:ascii="Times New Roman" w:eastAsia="Times New Roman" w:hAnsi="Times New Roman" w:cs="Simplified Arabic"/>
          <w:noProof/>
          <w:sz w:val="28"/>
          <w:szCs w:val="28"/>
          <w:rtl/>
        </w:rPr>
        <w:pict>
          <v:rect id="_x0000_s1064" style="position:absolute;left:0;text-align:left;margin-left:278.95pt;margin-top:4.75pt;width:38.35pt;height:25.15pt;z-index:251646976">
            <v:textbox style="mso-next-textbox:#_x0000_s1064">
              <w:txbxContent>
                <w:p w:rsidR="00205648" w:rsidRPr="00A549E4" w:rsidRDefault="00205648" w:rsidP="00EF7BD4">
                  <w:pPr>
                    <w:jc w:val="center"/>
                  </w:pPr>
                  <w:r>
                    <w:rPr>
                      <w:rFonts w:hint="cs"/>
                      <w:rtl/>
                    </w:rPr>
                    <w:t xml:space="preserve">% </w:t>
                  </w:r>
                  <w:r>
                    <w:t>2</w:t>
                  </w:r>
                </w:p>
              </w:txbxContent>
            </v:textbox>
          </v:rect>
        </w:pict>
      </w:r>
      <w:r>
        <w:rPr>
          <w:rFonts w:ascii="Times New Roman" w:eastAsia="Times New Roman" w:hAnsi="Times New Roman" w:cs="Simplified Arabic"/>
          <w:noProof/>
          <w:sz w:val="28"/>
          <w:szCs w:val="28"/>
          <w:rtl/>
        </w:rPr>
        <w:pict>
          <v:rect id="_x0000_s1060" style="position:absolute;left:0;text-align:left;margin-left:194.55pt;margin-top:4.75pt;width:84.4pt;height:25.15pt;z-index:251648000">
            <v:textbox style="mso-next-textbox:#_x0000_s1060">
              <w:txbxContent>
                <w:p w:rsidR="00205648" w:rsidRPr="001F2237" w:rsidRDefault="00205648" w:rsidP="00EF7BD4">
                  <w:pPr>
                    <w:jc w:val="center"/>
                    <w:rPr>
                      <w:rFonts w:ascii="Traditional Arabic" w:hAnsi="Traditional Arabic" w:cs="Traditional Arabic"/>
                      <w:lang w:bidi="ar-DZ"/>
                    </w:rPr>
                  </w:pPr>
                  <w:r w:rsidRPr="001F2237">
                    <w:rPr>
                      <w:rFonts w:ascii="Traditional Arabic" w:hAnsi="Traditional Arabic" w:cs="Traditional Arabic"/>
                      <w:sz w:val="28"/>
                      <w:szCs w:val="28"/>
                      <w:rtl/>
                      <w:lang w:bidi="ar-DZ"/>
                    </w:rPr>
                    <w:t>أ</w:t>
                  </w:r>
                </w:p>
              </w:txbxContent>
            </v:textbox>
          </v:rect>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66" style="position:absolute;left:0;text-align:left;margin-left:278.95pt;margin-top:26.1pt;width:38.35pt;height:26.75pt;z-index:251649024">
            <v:textbox style="mso-next-textbox:#_x0000_s1066">
              <w:txbxContent>
                <w:p w:rsidR="00205648" w:rsidRPr="00A549E4" w:rsidRDefault="00205648" w:rsidP="00EF7BD4">
                  <w:pPr>
                    <w:jc w:val="center"/>
                  </w:pPr>
                  <w:r>
                    <w:rPr>
                      <w:rFonts w:hint="cs"/>
                      <w:rtl/>
                    </w:rPr>
                    <w:t xml:space="preserve">% </w:t>
                  </w:r>
                  <w:r>
                    <w:t>1</w:t>
                  </w:r>
                </w:p>
              </w:txbxContent>
            </v:textbox>
          </v:rect>
        </w:pict>
      </w:r>
      <w:r>
        <w:rPr>
          <w:rFonts w:ascii="Times New Roman" w:eastAsia="Times New Roman" w:hAnsi="Times New Roman" w:cs="Simplified Arabic"/>
          <w:noProof/>
          <w:sz w:val="28"/>
          <w:szCs w:val="28"/>
          <w:rtl/>
        </w:rPr>
        <w:pict>
          <v:rect id="_x0000_s1065" style="position:absolute;left:0;text-align:left;margin-left:278.95pt;margin-top:1.2pt;width:38.35pt;height:24.9pt;z-index:251650048">
            <v:textbox style="mso-next-textbox:#_x0000_s1065">
              <w:txbxContent>
                <w:p w:rsidR="00205648" w:rsidRPr="00A549E4" w:rsidRDefault="00205648" w:rsidP="00EF7BD4">
                  <w:pPr>
                    <w:jc w:val="center"/>
                  </w:pPr>
                  <w:r>
                    <w:rPr>
                      <w:rFonts w:hint="cs"/>
                      <w:rtl/>
                    </w:rPr>
                    <w:t xml:space="preserve">% </w:t>
                  </w:r>
                  <w:r>
                    <w:t>1</w:t>
                  </w:r>
                </w:p>
              </w:txbxContent>
            </v:textbox>
          </v:rect>
        </w:pict>
      </w:r>
      <w:r>
        <w:rPr>
          <w:rFonts w:ascii="Times New Roman" w:eastAsia="Times New Roman" w:hAnsi="Times New Roman" w:cs="Simplified Arabic"/>
          <w:noProof/>
          <w:sz w:val="28"/>
          <w:szCs w:val="28"/>
          <w:rtl/>
        </w:rPr>
        <w:pict>
          <v:rect id="_x0000_s1062" style="position:absolute;left:0;text-align:left;margin-left:194.55pt;margin-top:26.1pt;width:84.4pt;height:26.75pt;z-index:251651072">
            <v:textbox style="mso-next-textbox:#_x0000_s1062">
              <w:txbxContent>
                <w:p w:rsidR="00205648" w:rsidRPr="001F2237" w:rsidRDefault="00205648" w:rsidP="00EF7BD4">
                  <w:pPr>
                    <w:jc w:val="center"/>
                    <w:rPr>
                      <w:rFonts w:ascii="Traditional Arabic" w:hAnsi="Traditional Arabic" w:cs="Traditional Arabic"/>
                      <w:sz w:val="28"/>
                      <w:szCs w:val="28"/>
                    </w:rPr>
                  </w:pPr>
                  <w:r w:rsidRPr="001F2237">
                    <w:rPr>
                      <w:rFonts w:ascii="Traditional Arabic" w:hAnsi="Traditional Arabic" w:cs="Traditional Arabic"/>
                      <w:sz w:val="28"/>
                      <w:szCs w:val="28"/>
                      <w:rtl/>
                    </w:rPr>
                    <w:t>غير مصنف</w:t>
                  </w:r>
                </w:p>
              </w:txbxContent>
            </v:textbox>
          </v:rect>
        </w:pict>
      </w:r>
      <w:r>
        <w:rPr>
          <w:rFonts w:ascii="Times New Roman" w:eastAsia="Times New Roman" w:hAnsi="Times New Roman" w:cs="Simplified Arabic"/>
          <w:noProof/>
          <w:sz w:val="28"/>
          <w:szCs w:val="28"/>
          <w:rtl/>
        </w:rPr>
        <w:pict>
          <v:rect id="_x0000_s1061" style="position:absolute;left:0;text-align:left;margin-left:194.55pt;margin-top:1.2pt;width:84.4pt;height:24.9pt;z-index:251652096">
            <v:textbox style="mso-next-textbox:#_x0000_s1061">
              <w:txbxContent>
                <w:p w:rsidR="00205648" w:rsidRPr="001F2237" w:rsidRDefault="00205648" w:rsidP="00EF7BD4">
                  <w:pPr>
                    <w:jc w:val="center"/>
                    <w:rPr>
                      <w:rFonts w:ascii="Traditional Arabic" w:hAnsi="Traditional Arabic" w:cs="Traditional Arabic"/>
                      <w:sz w:val="28"/>
                      <w:szCs w:val="28"/>
                      <w:lang w:bidi="ar-DZ"/>
                    </w:rPr>
                  </w:pPr>
                  <w:r w:rsidRPr="001F2237">
                    <w:rPr>
                      <w:rFonts w:ascii="Traditional Arabic" w:hAnsi="Traditional Arabic" w:cs="Traditional Arabic"/>
                      <w:sz w:val="28"/>
                      <w:szCs w:val="28"/>
                      <w:rtl/>
                      <w:lang w:bidi="ar-DZ"/>
                    </w:rPr>
                    <w:t xml:space="preserve">ب ب ب </w:t>
                  </w:r>
                </w:p>
              </w:txbxContent>
            </v:textbox>
          </v:rect>
        </w:pict>
      </w:r>
      <w:r>
        <w:rPr>
          <w:rFonts w:ascii="Times New Roman" w:eastAsia="Times New Roman" w:hAnsi="Times New Roman" w:cs="Simplified Arabic"/>
          <w:noProof/>
          <w:sz w:val="28"/>
          <w:szCs w:val="28"/>
          <w:rt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8" type="#_x0000_t88" style="position:absolute;left:0;text-align:left;margin-left:141.4pt;margin-top:16.4pt;width:6.65pt;height:76.2pt;z-index:251653120"/>
        </w:pict>
      </w:r>
      <w:r>
        <w:rPr>
          <w:rFonts w:ascii="Times New Roman" w:eastAsia="Times New Roman" w:hAnsi="Times New Roman" w:cs="Simplified Arabic"/>
          <w:noProof/>
          <w:sz w:val="28"/>
          <w:szCs w:val="28"/>
          <w:rtl/>
        </w:rPr>
        <w:pict>
          <v:rect id="_x0000_s1054" style="position:absolute;left:0;text-align:left;margin-left:96pt;margin-top:16.4pt;width:40.5pt;height:24.9pt;z-index:251654144">
            <v:textbox style="mso-next-textbox:#_x0000_s1054">
              <w:txbxContent>
                <w:p w:rsidR="00205648" w:rsidRPr="004439B9" w:rsidRDefault="00205648" w:rsidP="00EF7BD4">
                  <w:pPr>
                    <w:bidi/>
                    <w:jc w:val="center"/>
                    <w:rPr>
                      <w:rFonts w:ascii="Traditional Arabic" w:hAnsi="Traditional Arabic" w:cs="Traditional Arabic"/>
                      <w:sz w:val="24"/>
                      <w:szCs w:val="24"/>
                    </w:rPr>
                  </w:pPr>
                  <w:r w:rsidRPr="004439B9">
                    <w:rPr>
                      <w:rFonts w:ascii="Traditional Arabic" w:hAnsi="Traditional Arabic" w:cs="Traditional Arabic"/>
                      <w:sz w:val="24"/>
                      <w:szCs w:val="24"/>
                      <w:rtl/>
                    </w:rPr>
                    <w:t xml:space="preserve">80% </w:t>
                  </w:r>
                  <w:r w:rsidRPr="004439B9">
                    <w:rPr>
                      <w:rFonts w:ascii="Traditional Arabic" w:hAnsi="Traditional Arabic" w:cs="Traditional Arabic"/>
                      <w:sz w:val="24"/>
                      <w:szCs w:val="24"/>
                    </w:rPr>
                    <w:t>80</w:t>
                  </w:r>
                </w:p>
              </w:txbxContent>
            </v:textbox>
          </v:rect>
        </w:pict>
      </w:r>
      <w:r>
        <w:rPr>
          <w:rFonts w:ascii="Times New Roman" w:eastAsia="Times New Roman" w:hAnsi="Times New Roman" w:cs="Simplified Arabic"/>
          <w:noProof/>
          <w:sz w:val="28"/>
          <w:szCs w:val="28"/>
          <w:rtl/>
        </w:rPr>
        <w:pict>
          <v:rect id="_x0000_s1049" style="position:absolute;left:0;text-align:left;margin-left:18pt;margin-top:16.4pt;width:78pt;height:24.9pt;z-index:251655168">
            <v:textbox style="mso-next-textbox:#_x0000_s1049">
              <w:txbxContent>
                <w:p w:rsidR="00205648" w:rsidRPr="004439B9" w:rsidRDefault="00205648" w:rsidP="00EF7BD4">
                  <w:pPr>
                    <w:jc w:val="center"/>
                    <w:rPr>
                      <w:rFonts w:ascii="Traditional Arabic" w:hAnsi="Traditional Arabic" w:cs="Traditional Arabic"/>
                      <w:sz w:val="28"/>
                      <w:szCs w:val="28"/>
                      <w:lang w:bidi="ar-DZ"/>
                    </w:rPr>
                  </w:pPr>
                  <w:r w:rsidRPr="004439B9">
                    <w:rPr>
                      <w:rFonts w:ascii="Traditional Arabic" w:hAnsi="Traditional Arabic" w:cs="Traditional Arabic"/>
                      <w:sz w:val="28"/>
                      <w:szCs w:val="28"/>
                      <w:rtl/>
                      <w:lang w:bidi="ar-DZ"/>
                    </w:rPr>
                    <w:t>أ أ أ</w:t>
                  </w:r>
                </w:p>
              </w:txbxContent>
            </v:textbox>
          </v:rect>
        </w:pict>
      </w:r>
      <w:r>
        <w:rPr>
          <w:rFonts w:ascii="Times New Roman" w:eastAsia="Times New Roman" w:hAnsi="Times New Roman" w:cs="Simplified Arabic"/>
          <w:noProof/>
          <w:sz w:val="28"/>
          <w:szCs w:val="28"/>
          <w:rtl/>
        </w:rPr>
        <w:pict>
          <v:shape id="_x0000_s1099" type="#_x0000_t32" style="position:absolute;left:0;text-align:left;margin-left:152.05pt;margin-top:16.4pt;width:42.5pt;height:32.65pt;flip:y;z-index:251656192" o:connectortype="straight">
            <v:stroke endarrow="block"/>
          </v:shape>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55" style="position:absolute;left:0;text-align:left;margin-left:96pt;margin-top:12.6pt;width:40.5pt;height:26.75pt;z-index:251657216">
            <v:textbox style="mso-next-textbox:#_x0000_s1055">
              <w:txbxContent>
                <w:p w:rsidR="00205648" w:rsidRPr="004439B9" w:rsidRDefault="00205648" w:rsidP="00EF7BD4">
                  <w:pPr>
                    <w:bidi/>
                    <w:jc w:val="center"/>
                    <w:rPr>
                      <w:rFonts w:ascii="Traditional Arabic" w:hAnsi="Traditional Arabic" w:cs="Traditional Arabic"/>
                      <w:sz w:val="24"/>
                      <w:szCs w:val="24"/>
                    </w:rPr>
                  </w:pPr>
                  <w:r w:rsidRPr="004439B9">
                    <w:rPr>
                      <w:rFonts w:ascii="Traditional Arabic" w:hAnsi="Traditional Arabic" w:cs="Traditional Arabic"/>
                      <w:sz w:val="24"/>
                      <w:szCs w:val="24"/>
                      <w:rtl/>
                    </w:rPr>
                    <w:t xml:space="preserve">11% </w:t>
                  </w:r>
                  <w:r w:rsidRPr="004439B9">
                    <w:rPr>
                      <w:rFonts w:ascii="Traditional Arabic" w:hAnsi="Traditional Arabic" w:cs="Traditional Arabic"/>
                      <w:sz w:val="24"/>
                      <w:szCs w:val="24"/>
                    </w:rPr>
                    <w:t>11</w:t>
                  </w:r>
                </w:p>
              </w:txbxContent>
            </v:textbox>
          </v:rect>
        </w:pict>
      </w:r>
      <w:r>
        <w:rPr>
          <w:rFonts w:ascii="Times New Roman" w:eastAsia="Times New Roman" w:hAnsi="Times New Roman" w:cs="Simplified Arabic"/>
          <w:noProof/>
          <w:sz w:val="28"/>
          <w:szCs w:val="28"/>
          <w:rtl/>
        </w:rPr>
        <w:pict>
          <v:rect id="_x0000_s1050" style="position:absolute;left:0;text-align:left;margin-left:18pt;margin-top:12.6pt;width:78pt;height:26.75pt;z-index:251658240">
            <v:textbox style="mso-next-textbox:#_x0000_s1050">
              <w:txbxContent>
                <w:p w:rsidR="00205648" w:rsidRPr="004439B9" w:rsidRDefault="00205648" w:rsidP="00EF7BD4">
                  <w:pPr>
                    <w:jc w:val="center"/>
                    <w:rPr>
                      <w:rFonts w:ascii="Traditional Arabic" w:hAnsi="Traditional Arabic" w:cs="Traditional Arabic"/>
                      <w:sz w:val="28"/>
                      <w:szCs w:val="28"/>
                      <w:lang w:bidi="ar-DZ"/>
                    </w:rPr>
                  </w:pPr>
                  <w:r w:rsidRPr="004439B9">
                    <w:rPr>
                      <w:rFonts w:ascii="Traditional Arabic" w:hAnsi="Traditional Arabic" w:cs="Traditional Arabic"/>
                      <w:sz w:val="28"/>
                      <w:szCs w:val="28"/>
                      <w:rtl/>
                      <w:lang w:bidi="ar-DZ"/>
                    </w:rPr>
                    <w:t>أ أ</w:t>
                  </w:r>
                </w:p>
              </w:txbxContent>
            </v:textbox>
          </v:rect>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71" style="position:absolute;left:0;text-align:left;margin-left:167.95pt;margin-top:9.8pt;width:167.6pt;height:49.55pt;z-index:251659264" filled="f" stroked="f">
            <v:textbox style="mso-next-textbox:#_x0000_s1071">
              <w:txbxContent>
                <w:p w:rsidR="00205648" w:rsidRPr="00912634" w:rsidRDefault="00205648" w:rsidP="00EF7BD4">
                  <w:pPr>
                    <w:bidi/>
                    <w:spacing w:after="0" w:line="240" w:lineRule="auto"/>
                    <w:jc w:val="center"/>
                    <w:rPr>
                      <w:rFonts w:ascii="Traditional Arabic" w:hAnsi="Traditional Arabic" w:cs="Traditional Arabic"/>
                      <w:sz w:val="28"/>
                      <w:szCs w:val="28"/>
                      <w:rtl/>
                    </w:rPr>
                  </w:pPr>
                  <w:r w:rsidRPr="00912634">
                    <w:rPr>
                      <w:rFonts w:ascii="Traditional Arabic" w:hAnsi="Traditional Arabic" w:cs="Traditional Arabic"/>
                      <w:sz w:val="28"/>
                      <w:szCs w:val="28"/>
                      <w:rtl/>
                    </w:rPr>
                    <w:t xml:space="preserve">التزامات الدين المضمونة للتمويل المهيكل </w:t>
                  </w:r>
                  <w:r>
                    <w:rPr>
                      <w:rFonts w:ascii="Traditional Arabic" w:hAnsi="Traditional Arabic" w:cs="Traditional Arabic" w:hint="cs"/>
                      <w:sz w:val="28"/>
                      <w:szCs w:val="28"/>
                      <w:rtl/>
                    </w:rPr>
                    <w:t>ذات التصنيف المتوسط</w:t>
                  </w:r>
                </w:p>
                <w:p w:rsidR="00205648" w:rsidRPr="00912634" w:rsidRDefault="00205648" w:rsidP="00EF7BD4">
                  <w:pPr>
                    <w:bidi/>
                    <w:spacing w:after="0" w:line="240" w:lineRule="auto"/>
                    <w:jc w:val="center"/>
                    <w:rPr>
                      <w:rFonts w:ascii="Traditional Arabic" w:hAnsi="Traditional Arabic" w:cs="Traditional Arabic"/>
                      <w:sz w:val="28"/>
                      <w:szCs w:val="28"/>
                      <w:rtl/>
                    </w:rPr>
                  </w:pPr>
                  <w:r w:rsidRPr="00912634">
                    <w:rPr>
                      <w:rFonts w:ascii="Traditional Arabic" w:hAnsi="Traditional Arabic" w:cs="Traditional Arabic"/>
                      <w:sz w:val="28"/>
                      <w:szCs w:val="28"/>
                      <w:rtl/>
                    </w:rPr>
                    <w:t>ذات التصنيف المتوسط</w:t>
                  </w:r>
                </w:p>
              </w:txbxContent>
            </v:textbox>
          </v:rect>
        </w:pict>
      </w:r>
      <w:r>
        <w:rPr>
          <w:rFonts w:ascii="Times New Roman" w:eastAsia="Times New Roman" w:hAnsi="Times New Roman" w:cs="Simplified Arabic"/>
          <w:noProof/>
          <w:sz w:val="28"/>
          <w:szCs w:val="28"/>
          <w:rtl/>
        </w:rPr>
        <w:pict>
          <v:rect id="_x0000_s1084" style="position:absolute;left:0;text-align:left;margin-left:341.45pt;margin-top:10.55pt;width:132.7pt;height:46.5pt;z-index:251660288" filled="f" strokecolor="white [3212]">
            <v:textbox style="mso-next-textbox:#_x0000_s1084">
              <w:txbxContent>
                <w:p w:rsidR="00205648" w:rsidRPr="00C960FF" w:rsidRDefault="00205648" w:rsidP="00EF7BD4">
                  <w:pPr>
                    <w:bidi/>
                    <w:spacing w:after="0" w:line="240" w:lineRule="auto"/>
                    <w:jc w:val="center"/>
                    <w:rPr>
                      <w:rFonts w:ascii="Traditional Arabic" w:hAnsi="Traditional Arabic" w:cs="Traditional Arabic"/>
                      <w:sz w:val="28"/>
                      <w:szCs w:val="28"/>
                      <w:rtl/>
                    </w:rPr>
                  </w:pPr>
                  <w:r w:rsidRPr="00C960FF">
                    <w:rPr>
                      <w:rFonts w:ascii="Traditional Arabic" w:hAnsi="Traditional Arabic" w:cs="Traditional Arabic"/>
                      <w:sz w:val="28"/>
                      <w:szCs w:val="28"/>
                      <w:rtl/>
                    </w:rPr>
                    <w:t>التزامات الدين المضمونة</w:t>
                  </w:r>
                </w:p>
                <w:p w:rsidR="00205648" w:rsidRPr="00C960FF" w:rsidRDefault="00205648" w:rsidP="00EF7BD4">
                  <w:pPr>
                    <w:bidi/>
                    <w:spacing w:after="0" w:line="240" w:lineRule="auto"/>
                    <w:jc w:val="center"/>
                    <w:rPr>
                      <w:rFonts w:ascii="Traditional Arabic" w:hAnsi="Traditional Arabic" w:cs="Traditional Arabic"/>
                      <w:sz w:val="28"/>
                      <w:szCs w:val="28"/>
                      <w:rtl/>
                    </w:rPr>
                  </w:pPr>
                  <w:r w:rsidRPr="00C960FF">
                    <w:rPr>
                      <w:rFonts w:ascii="Traditional Arabic" w:hAnsi="Traditional Arabic" w:cs="Traditional Arabic"/>
                      <w:sz w:val="28"/>
                      <w:szCs w:val="28"/>
                      <w:rtl/>
                    </w:rPr>
                    <w:t>ذات التصنيف الأدنى</w:t>
                  </w:r>
                </w:p>
              </w:txbxContent>
            </v:textbox>
          </v:rect>
        </w:pict>
      </w:r>
      <w:r>
        <w:rPr>
          <w:rFonts w:ascii="Times New Roman" w:eastAsia="Times New Roman" w:hAnsi="Times New Roman" w:cs="Simplified Arabic"/>
          <w:noProof/>
          <w:sz w:val="28"/>
          <w:szCs w:val="28"/>
          <w:rtl/>
        </w:rPr>
        <w:pict>
          <v:rect id="_x0000_s1056" style="position:absolute;left:0;text-align:left;margin-left:96pt;margin-top:10.65pt;width:40.5pt;height:24.6pt;z-index:251661312">
            <v:textbox style="mso-next-textbox:#_x0000_s1056">
              <w:txbxContent>
                <w:p w:rsidR="00205648" w:rsidRPr="004439B9" w:rsidRDefault="00205648" w:rsidP="00EF7BD4">
                  <w:pPr>
                    <w:jc w:val="center"/>
                    <w:rPr>
                      <w:rFonts w:ascii="Traditional Arabic" w:hAnsi="Traditional Arabic" w:cs="Traditional Arabic"/>
                      <w:sz w:val="24"/>
                      <w:szCs w:val="24"/>
                    </w:rPr>
                  </w:pPr>
                  <w:r w:rsidRPr="004439B9">
                    <w:rPr>
                      <w:rFonts w:ascii="Traditional Arabic" w:hAnsi="Traditional Arabic" w:cs="Traditional Arabic"/>
                      <w:sz w:val="24"/>
                      <w:szCs w:val="24"/>
                      <w:rtl/>
                    </w:rPr>
                    <w:t xml:space="preserve">% </w:t>
                  </w:r>
                  <w:r w:rsidRPr="004439B9">
                    <w:rPr>
                      <w:rFonts w:ascii="Traditional Arabic" w:hAnsi="Traditional Arabic" w:cs="Traditional Arabic"/>
                      <w:sz w:val="24"/>
                      <w:szCs w:val="24"/>
                    </w:rPr>
                    <w:t>4</w:t>
                  </w:r>
                </w:p>
              </w:txbxContent>
            </v:textbox>
          </v:rect>
        </w:pict>
      </w:r>
      <w:r>
        <w:rPr>
          <w:rFonts w:ascii="Times New Roman" w:eastAsia="Times New Roman" w:hAnsi="Times New Roman" w:cs="Simplified Arabic"/>
          <w:noProof/>
          <w:sz w:val="28"/>
          <w:szCs w:val="28"/>
          <w:rtl/>
        </w:rPr>
        <w:pict>
          <v:rect id="_x0000_s1051" style="position:absolute;left:0;text-align:left;margin-left:18pt;margin-top:10.65pt;width:78pt;height:24.6pt;z-index:251662336">
            <v:textbox style="mso-next-textbox:#_x0000_s1051">
              <w:txbxContent>
                <w:p w:rsidR="00205648" w:rsidRPr="004439B9" w:rsidRDefault="00205648" w:rsidP="00EF7BD4">
                  <w:pPr>
                    <w:jc w:val="center"/>
                    <w:rPr>
                      <w:rFonts w:ascii="Traditional Arabic" w:hAnsi="Traditional Arabic" w:cs="Traditional Arabic"/>
                      <w:sz w:val="28"/>
                      <w:szCs w:val="28"/>
                      <w:lang w:bidi="ar-DZ"/>
                    </w:rPr>
                  </w:pPr>
                  <w:r w:rsidRPr="004439B9">
                    <w:rPr>
                      <w:rFonts w:ascii="Traditional Arabic" w:hAnsi="Traditional Arabic" w:cs="Traditional Arabic"/>
                      <w:sz w:val="28"/>
                      <w:szCs w:val="28"/>
                      <w:rtl/>
                      <w:lang w:bidi="ar-DZ"/>
                    </w:rPr>
                    <w:t>أ</w:t>
                  </w:r>
                </w:p>
              </w:txbxContent>
            </v:textbox>
          </v:rect>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shape id="_x0000_s1100" type="#_x0000_t88" style="position:absolute;left:0;text-align:left;margin-left:141.4pt;margin-top:10.65pt;width:6.65pt;height:44.35pt;z-index:251663360"/>
        </w:pict>
      </w:r>
      <w:r>
        <w:rPr>
          <w:rFonts w:ascii="Times New Roman" w:eastAsia="Times New Roman" w:hAnsi="Times New Roman" w:cs="Simplified Arabic"/>
          <w:noProof/>
          <w:sz w:val="28"/>
          <w:szCs w:val="28"/>
          <w:rtl/>
        </w:rPr>
        <w:pict>
          <v:rect id="_x0000_s1057" style="position:absolute;left:0;text-align:left;margin-left:96pt;margin-top:6.55pt;width:40.5pt;height:24.2pt;z-index:251664384">
            <v:textbox style="mso-next-textbox:#_x0000_s1057">
              <w:txbxContent>
                <w:p w:rsidR="00205648" w:rsidRPr="004439B9" w:rsidRDefault="00205648" w:rsidP="00EF7BD4">
                  <w:pPr>
                    <w:jc w:val="center"/>
                    <w:rPr>
                      <w:rFonts w:ascii="Traditional Arabic" w:hAnsi="Traditional Arabic" w:cs="Traditional Arabic"/>
                      <w:sz w:val="24"/>
                      <w:szCs w:val="24"/>
                    </w:rPr>
                  </w:pPr>
                  <w:r w:rsidRPr="004439B9">
                    <w:rPr>
                      <w:rFonts w:ascii="Traditional Arabic" w:hAnsi="Traditional Arabic" w:cs="Traditional Arabic"/>
                      <w:sz w:val="24"/>
                      <w:szCs w:val="24"/>
                      <w:rtl/>
                    </w:rPr>
                    <w:t xml:space="preserve">% </w:t>
                  </w:r>
                  <w:r w:rsidRPr="004439B9">
                    <w:rPr>
                      <w:rFonts w:ascii="Traditional Arabic" w:hAnsi="Traditional Arabic" w:cs="Traditional Arabic"/>
                      <w:sz w:val="24"/>
                      <w:szCs w:val="24"/>
                    </w:rPr>
                    <w:t>3</w:t>
                  </w:r>
                </w:p>
              </w:txbxContent>
            </v:textbox>
          </v:rect>
        </w:pict>
      </w:r>
      <w:r>
        <w:rPr>
          <w:rFonts w:ascii="Times New Roman" w:eastAsia="Times New Roman" w:hAnsi="Times New Roman" w:cs="Simplified Arabic"/>
          <w:noProof/>
          <w:sz w:val="28"/>
          <w:szCs w:val="28"/>
          <w:rtl/>
        </w:rPr>
        <w:pict>
          <v:rect id="_x0000_s1052" style="position:absolute;left:0;text-align:left;margin-left:18pt;margin-top:6.55pt;width:78pt;height:24.15pt;z-index:251665408">
            <v:textbox style="mso-next-textbox:#_x0000_s1052">
              <w:txbxContent>
                <w:p w:rsidR="00205648" w:rsidRPr="004439B9" w:rsidRDefault="00205648" w:rsidP="00EF7BD4">
                  <w:pPr>
                    <w:spacing w:after="0" w:line="240" w:lineRule="auto"/>
                    <w:jc w:val="center"/>
                    <w:rPr>
                      <w:rFonts w:ascii="Traditional Arabic" w:hAnsi="Traditional Arabic" w:cs="Traditional Arabic"/>
                      <w:sz w:val="36"/>
                      <w:szCs w:val="36"/>
                      <w:vertAlign w:val="superscript"/>
                      <w:lang w:bidi="ar-DZ"/>
                    </w:rPr>
                  </w:pPr>
                  <w:r w:rsidRPr="004439B9">
                    <w:rPr>
                      <w:rFonts w:ascii="Traditional Arabic" w:hAnsi="Traditional Arabic" w:cs="Traditional Arabic"/>
                      <w:sz w:val="36"/>
                      <w:szCs w:val="36"/>
                      <w:vertAlign w:val="superscript"/>
                      <w:rtl/>
                      <w:lang w:bidi="ar-DZ"/>
                    </w:rPr>
                    <w:t>ب ب ب</w:t>
                  </w:r>
                </w:p>
              </w:txbxContent>
            </v:textbox>
          </v:rect>
        </w:pict>
      </w:r>
      <w:r>
        <w:rPr>
          <w:rFonts w:ascii="Times New Roman" w:eastAsia="Times New Roman" w:hAnsi="Times New Roman" w:cs="Simplified Arabic"/>
          <w:noProof/>
          <w:sz w:val="28"/>
          <w:szCs w:val="28"/>
          <w:rtl/>
        </w:rPr>
        <w:pict>
          <v:shape id="_x0000_s1101" type="#_x0000_t32" style="position:absolute;left:0;text-align:left;margin-left:152.05pt;margin-top:18.9pt;width:42.5pt;height:31.95pt;z-index:251666432" o:connectortype="straight">
            <v:stroke endarrow="block"/>
          </v:shape>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shape id="_x0000_s1102" type="#_x0000_t88" style="position:absolute;left:0;text-align:left;margin-left:317.3pt;margin-top:2pt;width:11.95pt;height:142.3pt;z-index:251667456"/>
        </w:pict>
      </w:r>
      <w:r>
        <w:rPr>
          <w:rFonts w:ascii="Times New Roman" w:eastAsia="Times New Roman" w:hAnsi="Times New Roman" w:cs="Simplified Arabic"/>
          <w:noProof/>
          <w:sz w:val="28"/>
          <w:szCs w:val="28"/>
          <w:rtl/>
        </w:rPr>
        <w:pict>
          <v:rect id="_x0000_s1095" style="position:absolute;left:0;text-align:left;margin-left:429.6pt;margin-top:-.3pt;width:38.35pt;height:24.9pt;z-index:251668480">
            <v:textbox style="mso-next-textbox:#_x0000_s1095">
              <w:txbxContent>
                <w:p w:rsidR="00205648" w:rsidRPr="00A549E4" w:rsidRDefault="00205648" w:rsidP="00EF7BD4">
                  <w:pPr>
                    <w:jc w:val="center"/>
                  </w:pPr>
                  <w:r>
                    <w:rPr>
                      <w:rFonts w:hint="cs"/>
                      <w:rtl/>
                    </w:rPr>
                    <w:t>60%606660</w:t>
                  </w:r>
                </w:p>
              </w:txbxContent>
            </v:textbox>
          </v:rect>
        </w:pict>
      </w:r>
      <w:r>
        <w:rPr>
          <w:rFonts w:ascii="Times New Roman" w:eastAsia="Times New Roman" w:hAnsi="Times New Roman" w:cs="Simplified Arabic"/>
          <w:noProof/>
          <w:sz w:val="28"/>
          <w:szCs w:val="28"/>
          <w:rtl/>
        </w:rPr>
        <w:pict>
          <v:rect id="_x0000_s1096" style="position:absolute;left:0;text-align:left;margin-left:429.6pt;margin-top:24.6pt;width:38.35pt;height:24.1pt;z-index:251669504">
            <v:textbox style="mso-next-textbox:#_x0000_s1096">
              <w:txbxContent>
                <w:p w:rsidR="00205648" w:rsidRPr="00A549E4" w:rsidRDefault="00205648" w:rsidP="00EF7BD4">
                  <w:pPr>
                    <w:jc w:val="center"/>
                  </w:pPr>
                  <w:r>
                    <w:rPr>
                      <w:rFonts w:hint="cs"/>
                      <w:rtl/>
                    </w:rPr>
                    <w:t>27% 27</w:t>
                  </w:r>
                </w:p>
              </w:txbxContent>
            </v:textbox>
          </v:rect>
        </w:pict>
      </w:r>
      <w:r>
        <w:rPr>
          <w:rFonts w:ascii="Times New Roman" w:eastAsia="Times New Roman" w:hAnsi="Times New Roman" w:cs="Simplified Arabic"/>
          <w:noProof/>
          <w:sz w:val="28"/>
          <w:szCs w:val="28"/>
          <w:rtl/>
        </w:rPr>
        <w:pict>
          <v:rect id="_x0000_s1093" style="position:absolute;left:0;text-align:left;margin-left:345.2pt;margin-top:-.3pt;width:84.4pt;height:24.9pt;z-index:251670528">
            <v:textbox style="mso-next-textbox:#_x0000_s1093">
              <w:txbxContent>
                <w:p w:rsidR="00205648" w:rsidRPr="001F2237" w:rsidRDefault="00205648" w:rsidP="00EF7BD4">
                  <w:pPr>
                    <w:jc w:val="center"/>
                    <w:rPr>
                      <w:rFonts w:ascii="Traditional Arabic" w:hAnsi="Traditional Arabic" w:cs="Traditional Arabic"/>
                      <w:sz w:val="28"/>
                      <w:szCs w:val="28"/>
                      <w:rtl/>
                      <w:lang w:bidi="ar-DZ"/>
                    </w:rPr>
                  </w:pPr>
                  <w:r w:rsidRPr="001F2237">
                    <w:rPr>
                      <w:rFonts w:ascii="Traditional Arabic" w:hAnsi="Traditional Arabic" w:cs="Traditional Arabic"/>
                      <w:sz w:val="28"/>
                      <w:szCs w:val="28"/>
                      <w:rtl/>
                      <w:lang w:bidi="ar-DZ"/>
                    </w:rPr>
                    <w:t>أ أ أ ممتاز</w:t>
                  </w:r>
                </w:p>
                <w:p w:rsidR="00205648" w:rsidRPr="003F5A20" w:rsidRDefault="00205648" w:rsidP="00EF7BD4">
                  <w:pPr>
                    <w:rPr>
                      <w:rtl/>
                    </w:rPr>
                  </w:pPr>
                </w:p>
              </w:txbxContent>
            </v:textbox>
          </v:rect>
        </w:pict>
      </w:r>
      <w:r>
        <w:rPr>
          <w:rFonts w:ascii="Times New Roman" w:eastAsia="Times New Roman" w:hAnsi="Times New Roman" w:cs="Simplified Arabic"/>
          <w:noProof/>
          <w:sz w:val="28"/>
          <w:szCs w:val="28"/>
          <w:rtl/>
        </w:rPr>
        <w:pict>
          <v:rect id="_x0000_s1085" style="position:absolute;left:0;text-align:left;margin-left:345.2pt;margin-top:22.15pt;width:84.4pt;height:26.55pt;flip:y;z-index:251671552">
            <v:textbox style="mso-next-textbox:#_x0000_s1085">
              <w:txbxContent>
                <w:p w:rsidR="00205648" w:rsidRPr="00912634" w:rsidRDefault="00205648" w:rsidP="00EF7BD4">
                  <w:pPr>
                    <w:jc w:val="center"/>
                  </w:pPr>
                  <w:r w:rsidRPr="001F2237">
                    <w:rPr>
                      <w:rFonts w:ascii="Traditional Arabic" w:hAnsi="Traditional Arabic" w:cs="Traditional Arabic"/>
                      <w:sz w:val="28"/>
                      <w:szCs w:val="28"/>
                      <w:rtl/>
                      <w:lang w:bidi="ar-DZ"/>
                    </w:rPr>
                    <w:t>أ أ أ ثانوي</w:t>
                  </w:r>
                </w:p>
                <w:p w:rsidR="00205648" w:rsidRPr="003F5A20" w:rsidRDefault="00205648" w:rsidP="00EF7BD4"/>
              </w:txbxContent>
            </v:textbox>
          </v:rect>
        </w:pict>
      </w:r>
      <w:r>
        <w:rPr>
          <w:rFonts w:ascii="Times New Roman" w:eastAsia="Times New Roman" w:hAnsi="Times New Roman" w:cs="Simplified Arabic"/>
          <w:noProof/>
          <w:sz w:val="28"/>
          <w:szCs w:val="28"/>
          <w:rtl/>
        </w:rPr>
        <w:pict>
          <v:rect id="_x0000_s1083" style="position:absolute;left:0;text-align:left;margin-left:278.95pt;margin-top:24.6pt;width:38.35pt;height:24.1pt;z-index:251672576">
            <v:textbox style="mso-next-textbox:#_x0000_s1083">
              <w:txbxContent>
                <w:p w:rsidR="00205648" w:rsidRPr="00A549E4" w:rsidRDefault="00205648" w:rsidP="00EF7BD4">
                  <w:pPr>
                    <w:jc w:val="center"/>
                  </w:pPr>
                  <w:r>
                    <w:rPr>
                      <w:rFonts w:hint="cs"/>
                      <w:rtl/>
                    </w:rPr>
                    <w:t>14% %1414</w:t>
                  </w:r>
                </w:p>
              </w:txbxContent>
            </v:textbox>
          </v:rect>
        </w:pict>
      </w:r>
      <w:r>
        <w:rPr>
          <w:rFonts w:ascii="Times New Roman" w:eastAsia="Times New Roman" w:hAnsi="Times New Roman" w:cs="Simplified Arabic"/>
          <w:noProof/>
          <w:sz w:val="28"/>
          <w:szCs w:val="28"/>
          <w:rtl/>
        </w:rPr>
        <w:pict>
          <v:rect id="_x0000_s1082" style="position:absolute;left:0;text-align:left;margin-left:278.95pt;margin-top:-.3pt;width:38.35pt;height:24.9pt;z-index:251673600">
            <v:textbox style="mso-next-textbox:#_x0000_s1082">
              <w:txbxContent>
                <w:p w:rsidR="00205648" w:rsidRPr="00A549E4" w:rsidRDefault="00205648" w:rsidP="00EF7BD4">
                  <w:pPr>
                    <w:jc w:val="center"/>
                  </w:pPr>
                  <w:r>
                    <w:rPr>
                      <w:rFonts w:hint="cs"/>
                      <w:rtl/>
                    </w:rPr>
                    <w:t>62% 62</w:t>
                  </w:r>
                </w:p>
              </w:txbxContent>
            </v:textbox>
          </v:rect>
        </w:pict>
      </w:r>
      <w:r>
        <w:rPr>
          <w:rFonts w:ascii="Times New Roman" w:eastAsia="Times New Roman" w:hAnsi="Times New Roman" w:cs="Simplified Arabic"/>
          <w:noProof/>
          <w:sz w:val="28"/>
          <w:szCs w:val="28"/>
          <w:rtl/>
        </w:rPr>
        <w:pict>
          <v:rect id="_x0000_s1081" style="position:absolute;left:0;text-align:left;margin-left:194.55pt;margin-top:24.6pt;width:84.4pt;height:24.95pt;z-index:251674624">
            <v:textbox style="mso-next-textbox:#_x0000_s1081">
              <w:txbxContent>
                <w:p w:rsidR="00205648" w:rsidRPr="00912634" w:rsidRDefault="00205648" w:rsidP="00EF7BD4">
                  <w:pPr>
                    <w:jc w:val="center"/>
                  </w:pPr>
                  <w:r w:rsidRPr="001F2237">
                    <w:rPr>
                      <w:rFonts w:ascii="Traditional Arabic" w:hAnsi="Traditional Arabic" w:cs="Traditional Arabic"/>
                      <w:sz w:val="28"/>
                      <w:szCs w:val="28"/>
                      <w:rtl/>
                      <w:lang w:bidi="ar-DZ"/>
                    </w:rPr>
                    <w:t>أ أ أ ثانوي</w:t>
                  </w:r>
                </w:p>
              </w:txbxContent>
            </v:textbox>
          </v:rect>
        </w:pict>
      </w:r>
      <w:r>
        <w:rPr>
          <w:rFonts w:ascii="Times New Roman" w:eastAsia="Times New Roman" w:hAnsi="Times New Roman" w:cs="Simplified Arabic"/>
          <w:noProof/>
          <w:sz w:val="28"/>
          <w:szCs w:val="28"/>
          <w:rtl/>
        </w:rPr>
        <w:pict>
          <v:rect id="_x0000_s1080" style="position:absolute;left:0;text-align:left;margin-left:194.55pt;margin-top:-.3pt;width:84.4pt;height:24.9pt;z-index:251675648">
            <v:textbox style="mso-next-textbox:#_x0000_s1080">
              <w:txbxContent>
                <w:p w:rsidR="00205648" w:rsidRPr="001F2237" w:rsidRDefault="00205648" w:rsidP="00EF7BD4">
                  <w:pPr>
                    <w:jc w:val="center"/>
                    <w:rPr>
                      <w:rFonts w:ascii="Traditional Arabic" w:hAnsi="Traditional Arabic" w:cs="Traditional Arabic"/>
                      <w:sz w:val="28"/>
                      <w:szCs w:val="28"/>
                      <w:rtl/>
                      <w:lang w:bidi="ar-DZ"/>
                    </w:rPr>
                  </w:pPr>
                  <w:r w:rsidRPr="001F2237">
                    <w:rPr>
                      <w:rFonts w:ascii="Traditional Arabic" w:hAnsi="Traditional Arabic" w:cs="Traditional Arabic"/>
                      <w:sz w:val="28"/>
                      <w:szCs w:val="28"/>
                      <w:rtl/>
                      <w:lang w:bidi="ar-DZ"/>
                    </w:rPr>
                    <w:t>أ أ أ ممتاز</w:t>
                  </w:r>
                </w:p>
                <w:p w:rsidR="00205648" w:rsidRPr="00084664" w:rsidRDefault="00205648" w:rsidP="00EF7BD4">
                  <w:pPr>
                    <w:jc w:val="center"/>
                    <w:rPr>
                      <w:rtl/>
                    </w:rPr>
                  </w:pPr>
                </w:p>
              </w:txbxContent>
            </v:textbox>
          </v:rect>
        </w:pict>
      </w:r>
      <w:r>
        <w:rPr>
          <w:rFonts w:ascii="Times New Roman" w:eastAsia="Times New Roman" w:hAnsi="Times New Roman" w:cs="Simplified Arabic"/>
          <w:noProof/>
          <w:sz w:val="28"/>
          <w:szCs w:val="28"/>
          <w:rtl/>
        </w:rPr>
        <w:pict>
          <v:rect id="_x0000_s1058" style="position:absolute;left:0;text-align:left;margin-left:96pt;margin-top:2.1pt;width:40.5pt;height:24.2pt;z-index:251676672">
            <v:textbox style="mso-next-textbox:#_x0000_s1058">
              <w:txbxContent>
                <w:p w:rsidR="00205648" w:rsidRPr="004439B9" w:rsidRDefault="00205648" w:rsidP="00EF7BD4">
                  <w:pPr>
                    <w:jc w:val="center"/>
                    <w:rPr>
                      <w:rFonts w:ascii="Traditional Arabic" w:hAnsi="Traditional Arabic" w:cs="Traditional Arabic"/>
                      <w:sz w:val="24"/>
                      <w:szCs w:val="24"/>
                    </w:rPr>
                  </w:pPr>
                  <w:r w:rsidRPr="004439B9">
                    <w:rPr>
                      <w:rFonts w:ascii="Traditional Arabic" w:hAnsi="Traditional Arabic" w:cs="Traditional Arabic"/>
                      <w:sz w:val="24"/>
                      <w:szCs w:val="24"/>
                      <w:rtl/>
                    </w:rPr>
                    <w:t xml:space="preserve">% </w:t>
                  </w:r>
                  <w:r w:rsidRPr="004439B9">
                    <w:rPr>
                      <w:rFonts w:ascii="Traditional Arabic" w:hAnsi="Traditional Arabic" w:cs="Traditional Arabic"/>
                      <w:sz w:val="24"/>
                      <w:szCs w:val="24"/>
                    </w:rPr>
                    <w:t>2</w:t>
                  </w:r>
                </w:p>
              </w:txbxContent>
            </v:textbox>
          </v:rect>
        </w:pict>
      </w:r>
      <w:r>
        <w:rPr>
          <w:rFonts w:ascii="Times New Roman" w:eastAsia="Times New Roman" w:hAnsi="Times New Roman" w:cs="Simplified Arabic"/>
          <w:noProof/>
          <w:sz w:val="28"/>
          <w:szCs w:val="28"/>
          <w:rtl/>
        </w:rPr>
        <w:pict>
          <v:rect id="_x0000_s1053" style="position:absolute;left:0;text-align:left;margin-left:18pt;margin-top:2.1pt;width:78pt;height:24.2pt;z-index:251677696">
            <v:textbox style="mso-next-textbox:#_x0000_s1053">
              <w:txbxContent>
                <w:p w:rsidR="00205648" w:rsidRPr="004439B9" w:rsidRDefault="00205648" w:rsidP="00EF7BD4">
                  <w:pPr>
                    <w:bidi/>
                    <w:rPr>
                      <w:rFonts w:ascii="Traditional Arabic" w:hAnsi="Traditional Arabic" w:cs="Traditional Arabic"/>
                      <w:sz w:val="36"/>
                      <w:szCs w:val="36"/>
                      <w:vertAlign w:val="superscript"/>
                    </w:rPr>
                  </w:pPr>
                  <w:r w:rsidRPr="004439B9">
                    <w:rPr>
                      <w:rFonts w:ascii="Traditional Arabic" w:hAnsi="Traditional Arabic" w:cs="Traditional Arabic"/>
                      <w:sz w:val="36"/>
                      <w:szCs w:val="36"/>
                      <w:vertAlign w:val="superscript"/>
                      <w:rtl/>
                    </w:rPr>
                    <w:t xml:space="preserve">ب ب غير مصنفة </w:t>
                  </w:r>
                </w:p>
              </w:txbxContent>
            </v:textbox>
          </v:rect>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89" style="position:absolute;left:0;text-align:left;margin-left:429.6pt;margin-top:20pt;width:38.35pt;height:25.15pt;z-index:251678720">
            <v:textbox style="mso-next-textbox:#_x0000_s1089">
              <w:txbxContent>
                <w:p w:rsidR="00205648" w:rsidRPr="00A549E4" w:rsidRDefault="00205648" w:rsidP="00EF7BD4">
                  <w:pPr>
                    <w:bidi/>
                    <w:jc w:val="center"/>
                  </w:pPr>
                  <w:r>
                    <w:rPr>
                      <w:rFonts w:hint="cs"/>
                      <w:rtl/>
                    </w:rPr>
                    <w:t>4%</w:t>
                  </w:r>
                </w:p>
              </w:txbxContent>
            </v:textbox>
          </v:rect>
        </w:pict>
      </w:r>
      <w:r>
        <w:rPr>
          <w:rFonts w:ascii="Times New Roman" w:eastAsia="Times New Roman" w:hAnsi="Times New Roman" w:cs="Simplified Arabic"/>
          <w:noProof/>
          <w:sz w:val="28"/>
          <w:szCs w:val="28"/>
          <w:rtl/>
        </w:rPr>
        <w:pict>
          <v:rect id="_x0000_s1094" style="position:absolute;left:0;text-align:left;margin-left:345.2pt;margin-top:20pt;width:84.4pt;height:25.15pt;z-index:251679744">
            <v:textbox style="mso-next-textbox:#_x0000_s1094">
              <w:txbxContent>
                <w:p w:rsidR="00205648" w:rsidRPr="00912634" w:rsidRDefault="00205648" w:rsidP="00EF7BD4">
                  <w:pPr>
                    <w:jc w:val="center"/>
                    <w:rPr>
                      <w:rFonts w:ascii="Traditional Arabic" w:hAnsi="Traditional Arabic" w:cs="Traditional Arabic"/>
                      <w:sz w:val="28"/>
                      <w:szCs w:val="28"/>
                      <w:lang w:bidi="ar-DZ"/>
                    </w:rPr>
                  </w:pPr>
                  <w:r w:rsidRPr="00912634">
                    <w:rPr>
                      <w:rFonts w:ascii="Traditional Arabic" w:hAnsi="Traditional Arabic" w:cs="Traditional Arabic"/>
                      <w:sz w:val="28"/>
                      <w:szCs w:val="28"/>
                      <w:rtl/>
                      <w:lang w:bidi="ar-DZ"/>
                    </w:rPr>
                    <w:t>أ أ</w:t>
                  </w:r>
                </w:p>
                <w:p w:rsidR="00205648" w:rsidRPr="003F5A20" w:rsidRDefault="00205648" w:rsidP="00EF7BD4"/>
              </w:txbxContent>
            </v:textbox>
          </v:rect>
        </w:pict>
      </w:r>
      <w:r>
        <w:rPr>
          <w:rFonts w:ascii="Times New Roman" w:eastAsia="Times New Roman" w:hAnsi="Times New Roman" w:cs="Simplified Arabic"/>
          <w:noProof/>
          <w:sz w:val="28"/>
          <w:szCs w:val="28"/>
          <w:rtl/>
        </w:rPr>
        <w:pict>
          <v:rect id="_x0000_s1076" style="position:absolute;left:0;text-align:left;margin-left:278.95pt;margin-top:20pt;width:38.35pt;height:25.15pt;z-index:251680768">
            <v:textbox style="mso-next-textbox:#_x0000_s1076">
              <w:txbxContent>
                <w:p w:rsidR="00205648" w:rsidRPr="00A549E4" w:rsidRDefault="00205648" w:rsidP="00EF7BD4">
                  <w:pPr>
                    <w:bidi/>
                    <w:jc w:val="center"/>
                  </w:pPr>
                  <w:r>
                    <w:rPr>
                      <w:rFonts w:hint="cs"/>
                      <w:rtl/>
                    </w:rPr>
                    <w:t>8%</w:t>
                  </w:r>
                </w:p>
              </w:txbxContent>
            </v:textbox>
          </v:rect>
        </w:pict>
      </w:r>
      <w:r>
        <w:rPr>
          <w:rFonts w:ascii="Times New Roman" w:eastAsia="Times New Roman" w:hAnsi="Times New Roman" w:cs="Simplified Arabic"/>
          <w:noProof/>
          <w:sz w:val="28"/>
          <w:szCs w:val="28"/>
          <w:rtl/>
        </w:rPr>
        <w:pict>
          <v:rect id="_x0000_s1072" style="position:absolute;left:0;text-align:left;margin-left:194.55pt;margin-top:20.85pt;width:84.4pt;height:25.15pt;z-index:251681792">
            <v:textbox style="mso-next-textbox:#_x0000_s1072">
              <w:txbxContent>
                <w:p w:rsidR="00205648" w:rsidRPr="00912634" w:rsidRDefault="00205648" w:rsidP="00EF7BD4">
                  <w:pPr>
                    <w:jc w:val="center"/>
                    <w:rPr>
                      <w:rFonts w:ascii="Traditional Arabic" w:hAnsi="Traditional Arabic" w:cs="Traditional Arabic"/>
                      <w:sz w:val="28"/>
                      <w:szCs w:val="28"/>
                      <w:lang w:bidi="ar-DZ"/>
                    </w:rPr>
                  </w:pPr>
                  <w:r w:rsidRPr="00912634">
                    <w:rPr>
                      <w:rFonts w:ascii="Traditional Arabic" w:hAnsi="Traditional Arabic" w:cs="Traditional Arabic"/>
                      <w:sz w:val="28"/>
                      <w:szCs w:val="28"/>
                      <w:rtl/>
                      <w:lang w:bidi="ar-DZ"/>
                    </w:rPr>
                    <w:t>أ أ</w:t>
                  </w:r>
                </w:p>
              </w:txbxContent>
            </v:textbox>
          </v:rect>
        </w:pict>
      </w:r>
    </w:p>
    <w:p w:rsidR="00EF7BD4" w:rsidRPr="00F15C99"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shape id="_x0000_s1103" type="#_x0000_t32" style="position:absolute;left:0;text-align:left;margin-left:329.25pt;margin-top:16.4pt;width:12.2pt;height:.05pt;z-index:251682816" o:connectortype="straight">
            <v:stroke endarrow="block"/>
          </v:shape>
        </w:pict>
      </w:r>
      <w:r>
        <w:rPr>
          <w:rFonts w:ascii="Times New Roman" w:eastAsia="Times New Roman" w:hAnsi="Times New Roman" w:cs="Simplified Arabic"/>
          <w:noProof/>
          <w:sz w:val="28"/>
          <w:szCs w:val="28"/>
          <w:rtl/>
        </w:rPr>
        <w:pict>
          <v:rect id="_x0000_s1090" style="position:absolute;left:0;text-align:left;margin-left:429.6pt;margin-top:16.45pt;width:38.35pt;height:24.25pt;z-index:251683840">
            <v:textbox style="mso-next-textbox:#_x0000_s1090">
              <w:txbxContent>
                <w:p w:rsidR="00205648" w:rsidRPr="00A549E4" w:rsidRDefault="00205648" w:rsidP="00EF7BD4">
                  <w:pPr>
                    <w:bidi/>
                    <w:jc w:val="center"/>
                  </w:pPr>
                  <w:r>
                    <w:rPr>
                      <w:rFonts w:hint="cs"/>
                      <w:rtl/>
                    </w:rPr>
                    <w:t>3%</w:t>
                  </w:r>
                </w:p>
              </w:txbxContent>
            </v:textbox>
          </v:rect>
        </w:pict>
      </w:r>
      <w:r>
        <w:rPr>
          <w:rFonts w:ascii="Times New Roman" w:eastAsia="Times New Roman" w:hAnsi="Times New Roman" w:cs="Simplified Arabic"/>
          <w:noProof/>
          <w:sz w:val="28"/>
          <w:szCs w:val="28"/>
          <w:rtl/>
        </w:rPr>
        <w:pict>
          <v:rect id="_x0000_s1086" style="position:absolute;left:0;text-align:left;margin-left:345.2pt;margin-top:16.45pt;width:84.4pt;height:24.25pt;z-index:251684864">
            <v:textbox style="mso-next-textbox:#_x0000_s1086">
              <w:txbxContent>
                <w:p w:rsidR="00205648" w:rsidRPr="003F5A20" w:rsidRDefault="00205648" w:rsidP="00EF7BD4">
                  <w:pPr>
                    <w:jc w:val="center"/>
                  </w:pPr>
                  <w:r w:rsidRPr="00912634">
                    <w:rPr>
                      <w:rFonts w:ascii="Traditional Arabic" w:hAnsi="Traditional Arabic" w:cs="Traditional Arabic"/>
                      <w:sz w:val="28"/>
                      <w:szCs w:val="28"/>
                      <w:rtl/>
                      <w:lang w:bidi="ar-DZ"/>
                    </w:rPr>
                    <w:t>أ</w:t>
                  </w:r>
                </w:p>
              </w:txbxContent>
            </v:textbox>
          </v:rect>
        </w:pict>
      </w:r>
      <w:r>
        <w:rPr>
          <w:rFonts w:ascii="Times New Roman" w:eastAsia="Times New Roman" w:hAnsi="Times New Roman" w:cs="Simplified Arabic"/>
          <w:noProof/>
          <w:sz w:val="28"/>
          <w:szCs w:val="28"/>
          <w:rtl/>
        </w:rPr>
        <w:pict>
          <v:rect id="_x0000_s1077" style="position:absolute;left:0;text-align:left;margin-left:278.95pt;margin-top:16.45pt;width:38.35pt;height:24.25pt;z-index:251685888">
            <v:textbox style="mso-next-textbox:#_x0000_s1077">
              <w:txbxContent>
                <w:p w:rsidR="00205648" w:rsidRPr="00A549E4" w:rsidRDefault="00205648" w:rsidP="00EF7BD4">
                  <w:pPr>
                    <w:bidi/>
                    <w:jc w:val="center"/>
                  </w:pPr>
                  <w:r>
                    <w:rPr>
                      <w:rFonts w:hint="cs"/>
                      <w:rtl/>
                    </w:rPr>
                    <w:t>6%</w:t>
                  </w:r>
                </w:p>
              </w:txbxContent>
            </v:textbox>
          </v:rect>
        </w:pict>
      </w:r>
      <w:r>
        <w:rPr>
          <w:rFonts w:ascii="Times New Roman" w:eastAsia="Times New Roman" w:hAnsi="Times New Roman" w:cs="Simplified Arabic"/>
          <w:noProof/>
          <w:sz w:val="28"/>
          <w:szCs w:val="28"/>
          <w:rtl/>
        </w:rPr>
        <w:pict>
          <v:rect id="_x0000_s1073" style="position:absolute;left:0;text-align:left;margin-left:194.55pt;margin-top:17.3pt;width:84.4pt;height:23.4pt;z-index:251686912">
            <v:textbox style="mso-next-textbox:#_x0000_s1073">
              <w:txbxContent>
                <w:p w:rsidR="00205648" w:rsidRPr="00912634" w:rsidRDefault="00205648" w:rsidP="00EF7BD4">
                  <w:pPr>
                    <w:jc w:val="center"/>
                    <w:rPr>
                      <w:rFonts w:ascii="Traditional Arabic" w:hAnsi="Traditional Arabic" w:cs="Traditional Arabic"/>
                      <w:lang w:bidi="ar-DZ"/>
                    </w:rPr>
                  </w:pPr>
                  <w:r w:rsidRPr="00912634">
                    <w:rPr>
                      <w:rFonts w:ascii="Traditional Arabic" w:hAnsi="Traditional Arabic" w:cs="Traditional Arabic"/>
                      <w:sz w:val="28"/>
                      <w:szCs w:val="28"/>
                      <w:rtl/>
                      <w:lang w:bidi="ar-DZ"/>
                    </w:rPr>
                    <w:t>أ</w:t>
                  </w:r>
                </w:p>
              </w:txbxContent>
            </v:textbox>
          </v:rect>
        </w:pict>
      </w:r>
    </w:p>
    <w:p w:rsidR="00EF7BD4" w:rsidRDefault="00745183" w:rsidP="00EF7BD4">
      <w:pPr>
        <w:bidi/>
        <w:spacing w:after="40"/>
        <w:ind w:firstLine="140"/>
        <w:jc w:val="lowKashida"/>
        <w:rPr>
          <w:rFonts w:ascii="Times New Roman" w:eastAsia="Times New Roman" w:hAnsi="Times New Roman" w:cs="Simplified Arabic"/>
          <w:noProof/>
          <w:sz w:val="28"/>
          <w:szCs w:val="28"/>
          <w:rtl/>
          <w:lang w:eastAsia="ar-SA" w:bidi="ar-DZ"/>
        </w:rPr>
      </w:pPr>
      <w:r>
        <w:rPr>
          <w:rFonts w:ascii="Times New Roman" w:eastAsia="Times New Roman" w:hAnsi="Times New Roman" w:cs="Simplified Arabic"/>
          <w:noProof/>
          <w:sz w:val="28"/>
          <w:szCs w:val="28"/>
          <w:rtl/>
        </w:rPr>
        <w:pict>
          <v:rect id="_x0000_s1091" style="position:absolute;left:0;text-align:left;margin-left:429.6pt;margin-top:12.05pt;width:38.35pt;height:26.3pt;z-index:251687936">
            <v:textbox style="mso-next-textbox:#_x0000_s1091">
              <w:txbxContent>
                <w:p w:rsidR="00205648" w:rsidRPr="00A549E4" w:rsidRDefault="00205648" w:rsidP="00EF7BD4">
                  <w:pPr>
                    <w:bidi/>
                    <w:jc w:val="center"/>
                  </w:pPr>
                  <w:r>
                    <w:rPr>
                      <w:rFonts w:hint="cs"/>
                      <w:rtl/>
                    </w:rPr>
                    <w:t>3%</w:t>
                  </w:r>
                </w:p>
              </w:txbxContent>
            </v:textbox>
          </v:rect>
        </w:pict>
      </w:r>
      <w:r>
        <w:rPr>
          <w:rFonts w:ascii="Times New Roman" w:eastAsia="Times New Roman" w:hAnsi="Times New Roman" w:cs="Simplified Arabic"/>
          <w:noProof/>
          <w:sz w:val="28"/>
          <w:szCs w:val="28"/>
          <w:rtl/>
        </w:rPr>
        <w:pict>
          <v:rect id="_x0000_s1087" style="position:absolute;left:0;text-align:left;margin-left:345.2pt;margin-top:12.05pt;width:84.4pt;height:26.3pt;z-index:251688960">
            <v:textbox style="mso-next-textbox:#_x0000_s1087">
              <w:txbxContent>
                <w:p w:rsidR="00205648" w:rsidRPr="003F5A20" w:rsidRDefault="00205648" w:rsidP="00EF7BD4">
                  <w:pPr>
                    <w:jc w:val="center"/>
                  </w:pPr>
                  <w:r w:rsidRPr="00912634">
                    <w:rPr>
                      <w:rFonts w:ascii="Traditional Arabic" w:hAnsi="Traditional Arabic" w:cs="Traditional Arabic"/>
                      <w:sz w:val="28"/>
                      <w:szCs w:val="28"/>
                      <w:rtl/>
                      <w:lang w:bidi="ar-DZ"/>
                    </w:rPr>
                    <w:t>ب ب ب</w:t>
                  </w:r>
                </w:p>
              </w:txbxContent>
            </v:textbox>
          </v:rect>
        </w:pict>
      </w:r>
      <w:r>
        <w:rPr>
          <w:rFonts w:ascii="Times New Roman" w:eastAsia="Times New Roman" w:hAnsi="Times New Roman" w:cs="Simplified Arabic"/>
          <w:noProof/>
          <w:sz w:val="28"/>
          <w:szCs w:val="28"/>
          <w:rtl/>
        </w:rPr>
        <w:pict>
          <v:rect id="_x0000_s1078" style="position:absolute;left:0;text-align:left;margin-left:278.95pt;margin-top:12.05pt;width:38.35pt;height:26.3pt;z-index:251689984">
            <v:textbox style="mso-next-textbox:#_x0000_s1078">
              <w:txbxContent>
                <w:p w:rsidR="00205648" w:rsidRPr="00A549E4" w:rsidRDefault="00205648" w:rsidP="00EF7BD4">
                  <w:pPr>
                    <w:bidi/>
                    <w:jc w:val="center"/>
                  </w:pPr>
                  <w:r>
                    <w:rPr>
                      <w:rFonts w:hint="cs"/>
                      <w:rtl/>
                    </w:rPr>
                    <w:t>6%</w:t>
                  </w:r>
                </w:p>
              </w:txbxContent>
            </v:textbox>
          </v:rect>
        </w:pict>
      </w:r>
      <w:r>
        <w:rPr>
          <w:rFonts w:ascii="Times New Roman" w:eastAsia="Times New Roman" w:hAnsi="Times New Roman" w:cs="Simplified Arabic"/>
          <w:noProof/>
          <w:sz w:val="28"/>
          <w:szCs w:val="28"/>
          <w:rtl/>
        </w:rPr>
        <w:pict>
          <v:rect id="_x0000_s1074" style="position:absolute;left:0;text-align:left;margin-left:194.55pt;margin-top:12.05pt;width:84.4pt;height:26.3pt;z-index:251691008">
            <v:textbox style="mso-next-textbox:#_x0000_s1074">
              <w:txbxContent>
                <w:p w:rsidR="00205648" w:rsidRPr="00912634" w:rsidRDefault="00205648" w:rsidP="00EF7BD4">
                  <w:pPr>
                    <w:jc w:val="center"/>
                    <w:rPr>
                      <w:rFonts w:ascii="Traditional Arabic" w:hAnsi="Traditional Arabic" w:cs="Traditional Arabic"/>
                      <w:sz w:val="28"/>
                      <w:szCs w:val="28"/>
                      <w:lang w:bidi="ar-DZ"/>
                    </w:rPr>
                  </w:pPr>
                  <w:r w:rsidRPr="00912634">
                    <w:rPr>
                      <w:rFonts w:ascii="Traditional Arabic" w:hAnsi="Traditional Arabic" w:cs="Traditional Arabic"/>
                      <w:sz w:val="28"/>
                      <w:szCs w:val="28"/>
                      <w:rtl/>
                      <w:lang w:bidi="ar-DZ"/>
                    </w:rPr>
                    <w:t>ب ب ب</w:t>
                  </w:r>
                </w:p>
              </w:txbxContent>
            </v:textbox>
          </v:rect>
        </w:pict>
      </w:r>
    </w:p>
    <w:p w:rsidR="00EF7BD4" w:rsidRDefault="00745183" w:rsidP="00EF7BD4">
      <w:pPr>
        <w:spacing w:after="40"/>
        <w:jc w:val="lowKashida"/>
        <w:rPr>
          <w:rFonts w:asciiTheme="majorBidi" w:hAnsiTheme="majorBidi" w:cstheme="majorBidi"/>
          <w:sz w:val="20"/>
          <w:szCs w:val="20"/>
          <w:rtl/>
          <w:lang w:eastAsia="ar-SA" w:bidi="ar-DZ"/>
        </w:rPr>
      </w:pPr>
      <w:r w:rsidRPr="00745183">
        <w:rPr>
          <w:rFonts w:ascii="Times New Roman" w:eastAsia="Times New Roman" w:hAnsi="Times New Roman" w:cs="Simplified Arabic"/>
          <w:noProof/>
          <w:sz w:val="28"/>
          <w:szCs w:val="28"/>
          <w:rtl/>
        </w:rPr>
        <w:pict>
          <v:rect id="_x0000_s1092" style="position:absolute;left:0;text-align:left;margin-left:429.6pt;margin-top:9.65pt;width:38.35pt;height:23.75pt;z-index:251692032">
            <v:textbox style="mso-next-textbox:#_x0000_s1092">
              <w:txbxContent>
                <w:p w:rsidR="00205648" w:rsidRPr="00A549E4" w:rsidRDefault="00205648" w:rsidP="00EF7BD4">
                  <w:pPr>
                    <w:bidi/>
                    <w:jc w:val="center"/>
                  </w:pPr>
                  <w:r>
                    <w:rPr>
                      <w:rFonts w:hint="cs"/>
                      <w:rtl/>
                    </w:rPr>
                    <w:t>24%</w:t>
                  </w:r>
                </w:p>
              </w:txbxContent>
            </v:textbox>
          </v:rect>
        </w:pict>
      </w:r>
      <w:r w:rsidRPr="00745183">
        <w:rPr>
          <w:rFonts w:ascii="Times New Roman" w:eastAsia="Times New Roman" w:hAnsi="Times New Roman" w:cs="Simplified Arabic"/>
          <w:noProof/>
          <w:sz w:val="28"/>
          <w:szCs w:val="28"/>
          <w:rtl/>
        </w:rPr>
        <w:pict>
          <v:rect id="_x0000_s1088" style="position:absolute;left:0;text-align:left;margin-left:345.2pt;margin-top:9.65pt;width:84.4pt;height:23.75pt;z-index:251693056">
            <v:textbox style="mso-next-textbox:#_x0000_s1088">
              <w:txbxContent>
                <w:p w:rsidR="00205648" w:rsidRPr="00912634" w:rsidRDefault="00205648" w:rsidP="00EF7BD4">
                  <w:pPr>
                    <w:jc w:val="center"/>
                    <w:rPr>
                      <w:rFonts w:ascii="Traditional Arabic" w:hAnsi="Traditional Arabic" w:cs="Traditional Arabic"/>
                      <w:sz w:val="28"/>
                      <w:szCs w:val="28"/>
                    </w:rPr>
                  </w:pPr>
                  <w:r w:rsidRPr="00912634">
                    <w:rPr>
                      <w:rFonts w:ascii="Traditional Arabic" w:hAnsi="Traditional Arabic" w:cs="Traditional Arabic"/>
                      <w:sz w:val="28"/>
                      <w:szCs w:val="28"/>
                      <w:rtl/>
                    </w:rPr>
                    <w:t>غير مصنفة</w:t>
                  </w:r>
                </w:p>
                <w:p w:rsidR="00205648" w:rsidRPr="003E5703" w:rsidRDefault="00205648" w:rsidP="00EF7BD4">
                  <w:pPr>
                    <w:jc w:val="center"/>
                  </w:pPr>
                </w:p>
              </w:txbxContent>
            </v:textbox>
          </v:rect>
        </w:pict>
      </w:r>
      <w:r w:rsidRPr="00745183">
        <w:rPr>
          <w:rFonts w:ascii="Times New Roman" w:eastAsia="Times New Roman" w:hAnsi="Times New Roman" w:cs="Simplified Arabic"/>
          <w:noProof/>
          <w:sz w:val="28"/>
          <w:szCs w:val="28"/>
          <w:rtl/>
        </w:rPr>
        <w:pict>
          <v:rect id="_x0000_s1079" style="position:absolute;left:0;text-align:left;margin-left:278.95pt;margin-top:9.65pt;width:38.35pt;height:23.75pt;z-index:251694080">
            <v:textbox style="mso-next-textbox:#_x0000_s1079">
              <w:txbxContent>
                <w:p w:rsidR="00205648" w:rsidRPr="00A549E4" w:rsidRDefault="00205648" w:rsidP="00EF7BD4">
                  <w:pPr>
                    <w:bidi/>
                    <w:jc w:val="center"/>
                  </w:pPr>
                  <w:r>
                    <w:rPr>
                      <w:rFonts w:hint="cs"/>
                      <w:rtl/>
                    </w:rPr>
                    <w:t>4%</w:t>
                  </w:r>
                </w:p>
              </w:txbxContent>
            </v:textbox>
          </v:rect>
        </w:pict>
      </w:r>
      <w:r w:rsidRPr="00745183">
        <w:rPr>
          <w:rFonts w:ascii="Times New Roman" w:eastAsia="Times New Roman" w:hAnsi="Times New Roman" w:cs="Simplified Arabic"/>
          <w:noProof/>
          <w:sz w:val="28"/>
          <w:szCs w:val="28"/>
          <w:rtl/>
        </w:rPr>
        <w:pict>
          <v:rect id="_x0000_s1075" style="position:absolute;left:0;text-align:left;margin-left:194.55pt;margin-top:9.65pt;width:84.4pt;height:23.75pt;z-index:251695104">
            <v:textbox style="mso-next-textbox:#_x0000_s1075">
              <w:txbxContent>
                <w:p w:rsidR="00205648" w:rsidRPr="00912634" w:rsidRDefault="00205648" w:rsidP="00EF7BD4">
                  <w:pPr>
                    <w:jc w:val="center"/>
                    <w:rPr>
                      <w:rFonts w:ascii="Traditional Arabic" w:hAnsi="Traditional Arabic" w:cs="Traditional Arabic"/>
                      <w:sz w:val="28"/>
                      <w:szCs w:val="28"/>
                    </w:rPr>
                  </w:pPr>
                  <w:r w:rsidRPr="00912634">
                    <w:rPr>
                      <w:rFonts w:ascii="Traditional Arabic" w:hAnsi="Traditional Arabic" w:cs="Traditional Arabic"/>
                      <w:sz w:val="28"/>
                      <w:szCs w:val="28"/>
                      <w:rtl/>
                    </w:rPr>
                    <w:t>غير مصنفة</w:t>
                  </w:r>
                </w:p>
              </w:txbxContent>
            </v:textbox>
          </v:rect>
        </w:pict>
      </w:r>
    </w:p>
    <w:p w:rsidR="00EF7BD4" w:rsidRDefault="00EF7BD4" w:rsidP="00EF7BD4">
      <w:pPr>
        <w:spacing w:after="40"/>
        <w:jc w:val="lowKashida"/>
        <w:rPr>
          <w:rFonts w:asciiTheme="majorBidi" w:hAnsiTheme="majorBidi" w:cstheme="majorBidi"/>
          <w:sz w:val="20"/>
          <w:szCs w:val="20"/>
          <w:rtl/>
          <w:lang w:eastAsia="ar-SA" w:bidi="ar-DZ"/>
        </w:rPr>
      </w:pPr>
    </w:p>
    <w:p w:rsidR="00EF7BD4" w:rsidRDefault="00EF7BD4" w:rsidP="00EF7BD4">
      <w:pPr>
        <w:spacing w:after="40"/>
        <w:jc w:val="lowKashida"/>
        <w:rPr>
          <w:rFonts w:asciiTheme="majorBidi" w:hAnsiTheme="majorBidi" w:cstheme="majorBidi"/>
          <w:sz w:val="20"/>
          <w:szCs w:val="20"/>
          <w:rtl/>
          <w:lang w:eastAsia="ar-SA" w:bidi="ar-DZ"/>
        </w:rPr>
      </w:pPr>
    </w:p>
    <w:p w:rsidR="00EF7BD4" w:rsidRPr="0086131E" w:rsidRDefault="00EF7BD4" w:rsidP="002925FD">
      <w:pPr>
        <w:pStyle w:val="Notedebasdepage"/>
        <w:bidi/>
        <w:spacing w:after="240"/>
        <w:rPr>
          <w:rFonts w:ascii="Traditional Arabic" w:hAnsi="Traditional Arabic" w:cs="Traditional Arabic"/>
          <w:sz w:val="28"/>
          <w:szCs w:val="28"/>
          <w:rtl/>
          <w:lang w:bidi="ar-DZ"/>
        </w:rPr>
      </w:pPr>
      <w:r w:rsidRPr="0086131E">
        <w:rPr>
          <w:rFonts w:ascii="Traditional Arabic" w:hAnsi="Traditional Arabic" w:cs="Traditional Arabic"/>
          <w:sz w:val="28"/>
          <w:szCs w:val="28"/>
          <w:rtl/>
          <w:lang w:eastAsia="ar-SA" w:bidi="ar-DZ"/>
        </w:rPr>
        <w:t xml:space="preserve">المرجع: </w:t>
      </w:r>
      <w:r w:rsidRPr="0086131E">
        <w:rPr>
          <w:rFonts w:ascii="Traditional Arabic" w:hAnsi="Traditional Arabic" w:cs="Traditional Arabic"/>
          <w:sz w:val="28"/>
          <w:szCs w:val="28"/>
          <w:rtl/>
        </w:rPr>
        <w:t xml:space="preserve">لورا كودرس: </w:t>
      </w:r>
      <w:r w:rsidRPr="0086131E">
        <w:rPr>
          <w:rFonts w:ascii="Traditional Arabic" w:hAnsi="Traditional Arabic" w:cs="Traditional Arabic" w:hint="cs"/>
          <w:sz w:val="28"/>
          <w:szCs w:val="28"/>
          <w:rtl/>
          <w:lang w:bidi="ar-DZ"/>
        </w:rPr>
        <w:t>مرجع سابق</w:t>
      </w:r>
      <w:r w:rsidRPr="0086131E">
        <w:rPr>
          <w:rFonts w:ascii="Traditional Arabic" w:hAnsi="Traditional Arabic" w:cs="Traditional Arabic"/>
          <w:sz w:val="28"/>
          <w:szCs w:val="28"/>
          <w:rtl/>
        </w:rPr>
        <w:t>، ص</w:t>
      </w:r>
      <w:r w:rsidRPr="0086131E">
        <w:rPr>
          <w:rFonts w:ascii="Traditional Arabic" w:hAnsi="Traditional Arabic" w:cs="Traditional Arabic" w:hint="cs"/>
          <w:sz w:val="28"/>
          <w:szCs w:val="28"/>
          <w:rtl/>
        </w:rPr>
        <w:t xml:space="preserve"> </w:t>
      </w:r>
      <w:r w:rsidRPr="0086131E">
        <w:rPr>
          <w:rFonts w:ascii="Traditional Arabic" w:hAnsi="Traditional Arabic" w:cs="Traditional Arabic" w:hint="cs"/>
          <w:sz w:val="24"/>
          <w:szCs w:val="24"/>
          <w:rtl/>
        </w:rPr>
        <w:t>10</w:t>
      </w:r>
      <w:r w:rsidRPr="0086131E">
        <w:rPr>
          <w:rFonts w:ascii="Traditional Arabic" w:hAnsi="Traditional Arabic" w:cs="Traditional Arabic" w:hint="cs"/>
          <w:sz w:val="28"/>
          <w:szCs w:val="28"/>
          <w:rtl/>
        </w:rPr>
        <w:t>.</w:t>
      </w:r>
    </w:p>
    <w:p w:rsidR="00EF7BD4" w:rsidRDefault="00EF7BD4" w:rsidP="00EF7BD4">
      <w:pPr>
        <w:tabs>
          <w:tab w:val="right" w:pos="567"/>
        </w:tabs>
        <w:bidi/>
        <w:spacing w:after="240"/>
        <w:jc w:val="lowKashida"/>
        <w:rPr>
          <w:rFonts w:ascii="Traditional Arabic" w:eastAsia="Times New Roman" w:hAnsi="Traditional Arabic" w:cs="Traditional Arabic"/>
          <w:noProof/>
          <w:sz w:val="32"/>
          <w:szCs w:val="32"/>
          <w:rtl/>
          <w:lang w:eastAsia="ar-SA" w:bidi="ar-DZ"/>
        </w:rPr>
      </w:pPr>
      <w:r>
        <w:rPr>
          <w:rFonts w:ascii="Traditional Arabic" w:eastAsia="Times New Roman" w:hAnsi="Traditional Arabic" w:cs="Traditional Arabic" w:hint="cs"/>
          <w:noProof/>
          <w:sz w:val="32"/>
          <w:szCs w:val="32"/>
          <w:rtl/>
          <w:lang w:eastAsia="ar-SA" w:bidi="ar-DZ"/>
        </w:rPr>
        <w:t xml:space="preserve">        ف</w:t>
      </w:r>
      <w:r w:rsidRPr="00D82F10">
        <w:rPr>
          <w:rFonts w:ascii="Traditional Arabic" w:eastAsia="Times New Roman" w:hAnsi="Traditional Arabic" w:cs="Traditional Arabic"/>
          <w:noProof/>
          <w:sz w:val="32"/>
          <w:szCs w:val="32"/>
          <w:rtl/>
          <w:lang w:eastAsia="ar-SA" w:bidi="ar-DZ"/>
        </w:rPr>
        <w:t xml:space="preserve">حتى جويلية </w:t>
      </w:r>
      <w:r w:rsidRPr="00D82F10">
        <w:rPr>
          <w:rFonts w:ascii="Traditional Arabic" w:eastAsia="Times New Roman" w:hAnsi="Traditional Arabic" w:cs="Traditional Arabic"/>
          <w:noProof/>
          <w:sz w:val="24"/>
          <w:szCs w:val="24"/>
          <w:rtl/>
          <w:lang w:eastAsia="ar-SA" w:bidi="ar-DZ"/>
        </w:rPr>
        <w:t>2007</w:t>
      </w:r>
      <w:r w:rsidRPr="00D82F10">
        <w:rPr>
          <w:rFonts w:ascii="Traditional Arabic" w:eastAsia="Times New Roman" w:hAnsi="Traditional Arabic" w:cs="Traditional Arabic"/>
          <w:noProof/>
          <w:sz w:val="32"/>
          <w:szCs w:val="32"/>
          <w:rtl/>
          <w:lang w:eastAsia="ar-SA" w:bidi="ar-DZ"/>
        </w:rPr>
        <w:t>، عندما حلت الأزمة المالية، كان النمو في منتجات التمويل الائتماني المه</w:t>
      </w:r>
      <w:r>
        <w:rPr>
          <w:rFonts w:ascii="Traditional Arabic" w:eastAsia="Times New Roman" w:hAnsi="Traditional Arabic" w:cs="Traditional Arabic"/>
          <w:noProof/>
          <w:sz w:val="32"/>
          <w:szCs w:val="32"/>
          <w:rtl/>
          <w:lang w:eastAsia="ar-SA" w:bidi="ar-DZ"/>
        </w:rPr>
        <w:t xml:space="preserve">يكل أسيا. </w:t>
      </w:r>
      <w:r>
        <w:rPr>
          <w:rFonts w:ascii="Traditional Arabic" w:eastAsia="Times New Roman" w:hAnsi="Traditional Arabic" w:cs="Traditional Arabic" w:hint="cs"/>
          <w:noProof/>
          <w:sz w:val="32"/>
          <w:szCs w:val="32"/>
          <w:rtl/>
          <w:lang w:eastAsia="ar-SA" w:bidi="ar-DZ"/>
        </w:rPr>
        <w:t xml:space="preserve">فانتقل </w:t>
      </w:r>
      <w:r>
        <w:rPr>
          <w:rFonts w:ascii="Traditional Arabic" w:eastAsia="Times New Roman" w:hAnsi="Traditional Arabic" w:cs="Traditional Arabic"/>
          <w:noProof/>
          <w:sz w:val="32"/>
          <w:szCs w:val="32"/>
          <w:rtl/>
          <w:lang w:eastAsia="ar-SA" w:bidi="ar-DZ"/>
        </w:rPr>
        <w:t>نم</w:t>
      </w:r>
      <w:r>
        <w:rPr>
          <w:rFonts w:ascii="Traditional Arabic" w:eastAsia="Times New Roman" w:hAnsi="Traditional Arabic" w:cs="Traditional Arabic" w:hint="cs"/>
          <w:noProof/>
          <w:sz w:val="32"/>
          <w:szCs w:val="32"/>
          <w:rtl/>
          <w:lang w:eastAsia="ar-SA" w:bidi="ar-DZ"/>
        </w:rPr>
        <w:t>و</w:t>
      </w:r>
      <w:r w:rsidRPr="00D82F10">
        <w:rPr>
          <w:rFonts w:ascii="Traditional Arabic" w:eastAsia="Times New Roman" w:hAnsi="Traditional Arabic" w:cs="Traditional Arabic"/>
          <w:noProof/>
          <w:sz w:val="32"/>
          <w:szCs w:val="32"/>
          <w:rtl/>
          <w:lang w:eastAsia="ar-SA" w:bidi="ar-DZ"/>
        </w:rPr>
        <w:t xml:space="preserve"> إصدار </w:t>
      </w:r>
      <w:r>
        <w:rPr>
          <w:rFonts w:ascii="Traditional Arabic" w:eastAsia="Times New Roman" w:hAnsi="Traditional Arabic" w:cs="Traditional Arabic" w:hint="cs"/>
          <w:noProof/>
          <w:sz w:val="32"/>
          <w:szCs w:val="32"/>
          <w:rtl/>
          <w:lang w:eastAsia="ar-SA" w:bidi="ar-DZ"/>
        </w:rPr>
        <w:t>ال</w:t>
      </w:r>
      <w:r w:rsidRPr="00D82F10">
        <w:rPr>
          <w:rFonts w:ascii="Traditional Arabic" w:eastAsia="Times New Roman" w:hAnsi="Traditional Arabic" w:cs="Traditional Arabic"/>
          <w:noProof/>
          <w:sz w:val="32"/>
          <w:szCs w:val="32"/>
          <w:rtl/>
          <w:lang w:eastAsia="ar-SA" w:bidi="ar-DZ"/>
        </w:rPr>
        <w:t xml:space="preserve">منتجات </w:t>
      </w:r>
      <w:r>
        <w:rPr>
          <w:rFonts w:ascii="Traditional Arabic" w:eastAsia="Times New Roman" w:hAnsi="Traditional Arabic" w:cs="Traditional Arabic" w:hint="cs"/>
          <w:noProof/>
          <w:sz w:val="32"/>
          <w:szCs w:val="32"/>
          <w:rtl/>
          <w:lang w:eastAsia="ar-SA" w:bidi="ar-DZ"/>
        </w:rPr>
        <w:t>ال</w:t>
      </w:r>
      <w:r w:rsidRPr="00D82F10">
        <w:rPr>
          <w:rFonts w:ascii="Traditional Arabic" w:eastAsia="Times New Roman" w:hAnsi="Traditional Arabic" w:cs="Traditional Arabic"/>
          <w:noProof/>
          <w:sz w:val="32"/>
          <w:szCs w:val="32"/>
          <w:rtl/>
          <w:lang w:eastAsia="ar-SA" w:bidi="ar-DZ"/>
        </w:rPr>
        <w:t xml:space="preserve">ائتمانية </w:t>
      </w:r>
      <w:r>
        <w:rPr>
          <w:rFonts w:ascii="Traditional Arabic" w:eastAsia="Times New Roman" w:hAnsi="Traditional Arabic" w:cs="Traditional Arabic" w:hint="cs"/>
          <w:noProof/>
          <w:sz w:val="32"/>
          <w:szCs w:val="32"/>
          <w:rtl/>
          <w:lang w:eastAsia="ar-SA" w:bidi="ar-DZ"/>
        </w:rPr>
        <w:t>ال</w:t>
      </w:r>
      <w:r w:rsidRPr="00D82F10">
        <w:rPr>
          <w:rFonts w:ascii="Traditional Arabic" w:eastAsia="Times New Roman" w:hAnsi="Traditional Arabic" w:cs="Traditional Arabic"/>
          <w:noProof/>
          <w:sz w:val="32"/>
          <w:szCs w:val="32"/>
          <w:rtl/>
          <w:lang w:eastAsia="ar-SA" w:bidi="ar-DZ"/>
        </w:rPr>
        <w:t>مهيكلة في الولايات المتحدة</w:t>
      </w:r>
      <w:r>
        <w:rPr>
          <w:rFonts w:ascii="Traditional Arabic" w:eastAsia="Times New Roman" w:hAnsi="Traditional Arabic" w:cs="Traditional Arabic" w:hint="cs"/>
          <w:noProof/>
          <w:sz w:val="32"/>
          <w:szCs w:val="32"/>
          <w:rtl/>
          <w:lang w:eastAsia="ar-SA" w:bidi="ar-DZ"/>
        </w:rPr>
        <w:t xml:space="preserve"> الأمريكية</w:t>
      </w:r>
      <w:r w:rsidRPr="00D82F10">
        <w:rPr>
          <w:rFonts w:ascii="Traditional Arabic" w:eastAsia="Times New Roman" w:hAnsi="Traditional Arabic" w:cs="Traditional Arabic"/>
          <w:noProof/>
          <w:sz w:val="32"/>
          <w:szCs w:val="32"/>
          <w:rtl/>
          <w:lang w:eastAsia="ar-SA" w:bidi="ar-DZ"/>
        </w:rPr>
        <w:t xml:space="preserve"> وأوروبا</w:t>
      </w:r>
      <w:r>
        <w:rPr>
          <w:rFonts w:ascii="Traditional Arabic" w:eastAsia="Times New Roman" w:hAnsi="Traditional Arabic" w:cs="Traditional Arabic" w:hint="cs"/>
          <w:noProof/>
          <w:sz w:val="32"/>
          <w:szCs w:val="32"/>
          <w:rtl/>
          <w:lang w:eastAsia="ar-SA" w:bidi="ar-DZ"/>
        </w:rPr>
        <w:t xml:space="preserve"> </w:t>
      </w:r>
      <w:r w:rsidRPr="00D82F10">
        <w:rPr>
          <w:rFonts w:ascii="Traditional Arabic" w:eastAsia="Times New Roman" w:hAnsi="Traditional Arabic" w:cs="Traditional Arabic"/>
          <w:noProof/>
          <w:sz w:val="32"/>
          <w:szCs w:val="32"/>
          <w:rtl/>
          <w:lang w:eastAsia="ar-SA" w:bidi="ar-DZ"/>
        </w:rPr>
        <w:t xml:space="preserve">من </w:t>
      </w:r>
      <w:r w:rsidRPr="00D82F10">
        <w:rPr>
          <w:rFonts w:ascii="Traditional Arabic" w:eastAsia="Times New Roman" w:hAnsi="Traditional Arabic" w:cs="Traditional Arabic"/>
          <w:noProof/>
          <w:sz w:val="24"/>
          <w:szCs w:val="24"/>
          <w:rtl/>
          <w:lang w:eastAsia="ar-SA" w:bidi="ar-DZ"/>
        </w:rPr>
        <w:t xml:space="preserve">500 </w:t>
      </w:r>
      <w:r w:rsidRPr="00D82F10">
        <w:rPr>
          <w:rFonts w:ascii="Traditional Arabic" w:eastAsia="Times New Roman" w:hAnsi="Traditional Arabic" w:cs="Traditional Arabic"/>
          <w:noProof/>
          <w:sz w:val="32"/>
          <w:szCs w:val="32"/>
          <w:rtl/>
          <w:lang w:eastAsia="ar-SA" w:bidi="ar-DZ"/>
        </w:rPr>
        <w:t>مليار دولار في</w:t>
      </w:r>
      <w:r>
        <w:rPr>
          <w:rFonts w:ascii="Traditional Arabic" w:eastAsia="Times New Roman" w:hAnsi="Traditional Arabic" w:cs="Traditional Arabic" w:hint="cs"/>
          <w:noProof/>
          <w:sz w:val="32"/>
          <w:szCs w:val="32"/>
          <w:rtl/>
          <w:lang w:eastAsia="ar-SA" w:bidi="ar-DZ"/>
        </w:rPr>
        <w:t xml:space="preserve"> عام</w:t>
      </w:r>
      <w:r w:rsidRPr="00D82F10">
        <w:rPr>
          <w:rFonts w:ascii="Traditional Arabic" w:eastAsia="Times New Roman" w:hAnsi="Traditional Arabic" w:cs="Traditional Arabic"/>
          <w:noProof/>
          <w:sz w:val="32"/>
          <w:szCs w:val="32"/>
          <w:rtl/>
          <w:lang w:eastAsia="ar-SA" w:bidi="ar-DZ"/>
        </w:rPr>
        <w:t xml:space="preserve"> </w:t>
      </w:r>
      <w:r w:rsidRPr="00D82F10">
        <w:rPr>
          <w:rFonts w:ascii="Traditional Arabic" w:eastAsia="Times New Roman" w:hAnsi="Traditional Arabic" w:cs="Traditional Arabic"/>
          <w:noProof/>
          <w:sz w:val="24"/>
          <w:szCs w:val="24"/>
          <w:rtl/>
          <w:lang w:eastAsia="ar-SA" w:bidi="ar-DZ"/>
        </w:rPr>
        <w:t xml:space="preserve">2000 </w:t>
      </w:r>
      <w:r w:rsidRPr="00D82F10">
        <w:rPr>
          <w:rFonts w:ascii="Traditional Arabic" w:eastAsia="Times New Roman" w:hAnsi="Traditional Arabic" w:cs="Traditional Arabic"/>
          <w:noProof/>
          <w:sz w:val="32"/>
          <w:szCs w:val="32"/>
          <w:rtl/>
          <w:lang w:eastAsia="ar-SA" w:bidi="ar-DZ"/>
        </w:rPr>
        <w:t xml:space="preserve">إلى </w:t>
      </w:r>
      <w:r w:rsidRPr="00D82F10">
        <w:rPr>
          <w:rFonts w:ascii="Traditional Arabic" w:eastAsia="Times New Roman" w:hAnsi="Traditional Arabic" w:cs="Traditional Arabic"/>
          <w:noProof/>
          <w:sz w:val="24"/>
          <w:szCs w:val="24"/>
          <w:rtl/>
          <w:lang w:eastAsia="ar-SA" w:bidi="ar-DZ"/>
        </w:rPr>
        <w:t>2.6</w:t>
      </w:r>
      <w:r w:rsidRPr="00D82F10">
        <w:rPr>
          <w:rFonts w:ascii="Traditional Arabic" w:eastAsia="Times New Roman" w:hAnsi="Traditional Arabic" w:cs="Traditional Arabic"/>
          <w:noProof/>
          <w:sz w:val="32"/>
          <w:szCs w:val="32"/>
          <w:rtl/>
          <w:lang w:eastAsia="ar-SA" w:bidi="ar-DZ"/>
        </w:rPr>
        <w:t xml:space="preserve"> تريليون دولار في</w:t>
      </w:r>
      <w:r>
        <w:rPr>
          <w:rFonts w:ascii="Traditional Arabic" w:eastAsia="Times New Roman" w:hAnsi="Traditional Arabic" w:cs="Traditional Arabic" w:hint="cs"/>
          <w:noProof/>
          <w:sz w:val="32"/>
          <w:szCs w:val="32"/>
          <w:rtl/>
          <w:lang w:eastAsia="ar-SA" w:bidi="ar-DZ"/>
        </w:rPr>
        <w:t xml:space="preserve"> عام</w:t>
      </w:r>
      <w:r w:rsidRPr="00D82F10">
        <w:rPr>
          <w:rFonts w:ascii="Traditional Arabic" w:eastAsia="Times New Roman" w:hAnsi="Traditional Arabic" w:cs="Traditional Arabic"/>
          <w:noProof/>
          <w:sz w:val="32"/>
          <w:szCs w:val="32"/>
          <w:rtl/>
          <w:lang w:eastAsia="ar-SA" w:bidi="ar-DZ"/>
        </w:rPr>
        <w:t xml:space="preserve"> </w:t>
      </w:r>
      <w:r w:rsidRPr="00D82F10">
        <w:rPr>
          <w:rFonts w:ascii="Traditional Arabic" w:eastAsia="Times New Roman" w:hAnsi="Traditional Arabic" w:cs="Traditional Arabic"/>
          <w:noProof/>
          <w:sz w:val="24"/>
          <w:szCs w:val="24"/>
          <w:rtl/>
          <w:lang w:eastAsia="ar-SA" w:bidi="ar-DZ"/>
        </w:rPr>
        <w:t>2007</w:t>
      </w:r>
      <w:r>
        <w:rPr>
          <w:rStyle w:val="Appelnotedebasdep"/>
          <w:rFonts w:ascii="Traditional Arabic" w:hAnsi="Traditional Arabic" w:cs="Traditional Arabic"/>
          <w:sz w:val="32"/>
          <w:szCs w:val="32"/>
          <w:rtl/>
          <w:lang w:bidi="ar-DZ"/>
        </w:rPr>
        <w:footnoteReference w:id="8"/>
      </w:r>
      <w:r w:rsidRPr="00D82F10">
        <w:rPr>
          <w:rFonts w:ascii="Traditional Arabic" w:eastAsia="Times New Roman" w:hAnsi="Traditional Arabic" w:cs="Traditional Arabic"/>
          <w:noProof/>
          <w:sz w:val="32"/>
          <w:szCs w:val="32"/>
          <w:rtl/>
          <w:lang w:eastAsia="ar-SA" w:bidi="ar-DZ"/>
        </w:rPr>
        <w:t xml:space="preserve">.   </w:t>
      </w:r>
      <w:r>
        <w:rPr>
          <w:rFonts w:ascii="Traditional Arabic" w:eastAsia="Times New Roman" w:hAnsi="Traditional Arabic" w:cs="Traditional Arabic" w:hint="cs"/>
          <w:noProof/>
          <w:sz w:val="32"/>
          <w:szCs w:val="32"/>
          <w:rtl/>
          <w:lang w:eastAsia="ar-SA" w:bidi="ar-DZ"/>
        </w:rPr>
        <w:t xml:space="preserve">   </w:t>
      </w:r>
    </w:p>
    <w:p w:rsidR="00EF7BD4" w:rsidRDefault="00EF7BD4" w:rsidP="00EF7BD4">
      <w:pPr>
        <w:tabs>
          <w:tab w:val="right" w:pos="567"/>
        </w:tabs>
        <w:bidi/>
        <w:jc w:val="lowKashida"/>
        <w:rPr>
          <w:rFonts w:ascii="Traditional Arabic" w:eastAsia="Times New Roman" w:hAnsi="Traditional Arabic" w:cs="Traditional Arabic"/>
          <w:noProof/>
          <w:sz w:val="32"/>
          <w:szCs w:val="32"/>
          <w:rtl/>
          <w:lang w:eastAsia="ar-SA" w:bidi="ar-DZ"/>
        </w:rPr>
      </w:pPr>
      <w:r>
        <w:rPr>
          <w:rFonts w:ascii="Traditional Arabic" w:eastAsia="Times New Roman" w:hAnsi="Traditional Arabic" w:cs="Traditional Arabic" w:hint="cs"/>
          <w:noProof/>
          <w:sz w:val="32"/>
          <w:szCs w:val="32"/>
          <w:rtl/>
          <w:lang w:eastAsia="ar-SA" w:bidi="ar-DZ"/>
        </w:rPr>
        <w:t xml:space="preserve">        </w:t>
      </w:r>
      <w:r>
        <w:rPr>
          <w:rFonts w:ascii="Traditional Arabic" w:eastAsia="Times New Roman" w:hAnsi="Traditional Arabic" w:cs="Traditional Arabic"/>
          <w:noProof/>
          <w:sz w:val="32"/>
          <w:szCs w:val="32"/>
          <w:rtl/>
          <w:lang w:eastAsia="ar-SA" w:bidi="ar-DZ"/>
        </w:rPr>
        <w:t>و</w:t>
      </w:r>
      <w:r w:rsidRPr="00885733">
        <w:rPr>
          <w:rFonts w:ascii="Traditional Arabic" w:eastAsia="Times New Roman" w:hAnsi="Traditional Arabic" w:cs="Traditional Arabic"/>
          <w:noProof/>
          <w:sz w:val="32"/>
          <w:szCs w:val="32"/>
          <w:rtl/>
          <w:lang w:eastAsia="ar-SA" w:bidi="ar-DZ"/>
        </w:rPr>
        <w:t xml:space="preserve">نظرًا لأن المستثمر يشتري هذه الأوراق عن طريق الاقتراض، فهناك حساسية للتغيرات </w:t>
      </w:r>
      <w:r>
        <w:rPr>
          <w:rFonts w:ascii="Traditional Arabic" w:eastAsia="Times New Roman" w:hAnsi="Traditional Arabic" w:cs="Traditional Arabic"/>
          <w:noProof/>
          <w:sz w:val="32"/>
          <w:szCs w:val="32"/>
          <w:rtl/>
          <w:lang w:eastAsia="ar-SA" w:bidi="ar-DZ"/>
        </w:rPr>
        <w:t>المحتملة في جودة بعض الأصول، و</w:t>
      </w:r>
      <w:r>
        <w:rPr>
          <w:rFonts w:ascii="Traditional Arabic" w:eastAsia="Times New Roman" w:hAnsi="Traditional Arabic" w:cs="Traditional Arabic" w:hint="cs"/>
          <w:noProof/>
          <w:sz w:val="32"/>
          <w:szCs w:val="32"/>
          <w:rtl/>
          <w:lang w:eastAsia="ar-SA" w:bidi="ar-DZ"/>
        </w:rPr>
        <w:t>ه</w:t>
      </w:r>
      <w:r w:rsidRPr="00885733">
        <w:rPr>
          <w:rFonts w:ascii="Traditional Arabic" w:eastAsia="Times New Roman" w:hAnsi="Traditional Arabic" w:cs="Traditional Arabic"/>
          <w:noProof/>
          <w:sz w:val="32"/>
          <w:szCs w:val="32"/>
          <w:rtl/>
          <w:lang w:eastAsia="ar-SA" w:bidi="ar-DZ"/>
        </w:rPr>
        <w:t xml:space="preserve">ي التي تسببت في انهيار سوق الرهن العقاري الأمريكي عندما ظهرت مشكلة عدم </w:t>
      </w:r>
      <w:r w:rsidRPr="00885733">
        <w:rPr>
          <w:rFonts w:ascii="Traditional Arabic" w:eastAsia="Times New Roman" w:hAnsi="Traditional Arabic" w:cs="Traditional Arabic"/>
          <w:noProof/>
          <w:sz w:val="32"/>
          <w:szCs w:val="32"/>
          <w:rtl/>
          <w:lang w:eastAsia="ar-SA" w:bidi="ar-DZ"/>
        </w:rPr>
        <w:lastRenderedPageBreak/>
        <w:t>السداد في الشريحة الأكثر خطو</w:t>
      </w:r>
      <w:r>
        <w:rPr>
          <w:rFonts w:ascii="Traditional Arabic" w:eastAsia="Times New Roman" w:hAnsi="Traditional Arabic" w:cs="Traditional Arabic"/>
          <w:noProof/>
          <w:sz w:val="32"/>
          <w:szCs w:val="32"/>
          <w:rtl/>
          <w:lang w:eastAsia="ar-SA" w:bidi="ar-DZ"/>
        </w:rPr>
        <w:t>رة</w:t>
      </w:r>
      <w:r>
        <w:rPr>
          <w:rFonts w:ascii="Traditional Arabic" w:eastAsia="Times New Roman" w:hAnsi="Traditional Arabic" w:cs="Traditional Arabic" w:hint="cs"/>
          <w:noProof/>
          <w:sz w:val="32"/>
          <w:szCs w:val="32"/>
          <w:rtl/>
          <w:lang w:eastAsia="ar-SA" w:bidi="ar-DZ"/>
        </w:rPr>
        <w:t>،</w:t>
      </w:r>
      <w:r>
        <w:rPr>
          <w:rFonts w:ascii="Traditional Arabic" w:eastAsia="Times New Roman" w:hAnsi="Traditional Arabic" w:cs="Traditional Arabic"/>
          <w:noProof/>
          <w:sz w:val="32"/>
          <w:szCs w:val="32"/>
          <w:rtl/>
          <w:lang w:eastAsia="ar-SA" w:bidi="ar-DZ"/>
        </w:rPr>
        <w:t xml:space="preserve"> ومن ثم انتشرت مظاهر الهلع و</w:t>
      </w:r>
      <w:r w:rsidRPr="00885733">
        <w:rPr>
          <w:rFonts w:ascii="Traditional Arabic" w:eastAsia="Times New Roman" w:hAnsi="Traditional Arabic" w:cs="Traditional Arabic"/>
          <w:noProof/>
          <w:sz w:val="32"/>
          <w:szCs w:val="32"/>
          <w:rtl/>
          <w:lang w:eastAsia="ar-SA" w:bidi="ar-DZ"/>
        </w:rPr>
        <w:t>عدم الثقة بين حاملي هذه الأوراق المالية حتى الآمنة منها</w:t>
      </w:r>
      <w:r w:rsidRPr="00885733">
        <w:rPr>
          <w:rFonts w:ascii="Traditional Arabic" w:eastAsia="Times New Roman" w:hAnsi="Traditional Arabic" w:cs="Traditional Arabic"/>
          <w:noProof/>
          <w:szCs w:val="32"/>
          <w:vertAlign w:val="superscript"/>
          <w:rtl/>
          <w:lang w:eastAsia="ar-SA" w:bidi="ar-DZ"/>
        </w:rPr>
        <w:footnoteReference w:id="9"/>
      </w:r>
      <w:r>
        <w:rPr>
          <w:rFonts w:ascii="Traditional Arabic" w:eastAsia="Times New Roman" w:hAnsi="Traditional Arabic" w:cs="Traditional Arabic" w:hint="cs"/>
          <w:noProof/>
          <w:sz w:val="32"/>
          <w:szCs w:val="32"/>
          <w:rtl/>
          <w:lang w:eastAsia="ar-SA" w:bidi="ar-DZ"/>
        </w:rPr>
        <w:t xml:space="preserve">.  </w:t>
      </w:r>
    </w:p>
    <w:p w:rsidR="00EF7BD4" w:rsidRPr="00EF48C1" w:rsidRDefault="00EF7BD4" w:rsidP="002A05D8">
      <w:pPr>
        <w:tabs>
          <w:tab w:val="right" w:pos="567"/>
        </w:tabs>
        <w:bidi/>
        <w:jc w:val="both"/>
        <w:rPr>
          <w:rFonts w:ascii="Traditional Arabic" w:hAnsi="Traditional Arabic" w:cs="Traditional Arabic"/>
          <w:sz w:val="32"/>
          <w:szCs w:val="32"/>
          <w:rtl/>
          <w:lang w:bidi="ar-DZ"/>
        </w:rPr>
      </w:pPr>
      <w:r w:rsidRPr="00EF48C1">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EF48C1">
        <w:rPr>
          <w:rFonts w:ascii="Traditional Arabic" w:hAnsi="Traditional Arabic" w:cs="Traditional Arabic"/>
          <w:sz w:val="32"/>
          <w:szCs w:val="32"/>
          <w:rtl/>
          <w:lang w:bidi="ar-DZ"/>
        </w:rPr>
        <w:t xml:space="preserve">ثارت أخطر التوترات عندما تم اكتشاف أن الأساليب التي تستخدمها البنوك للاحتفاظ بهذه المنتجات الائتمانية المهيكلة غير سائلة ويصعب تقييمها، إذ كان يتم الاحتفاظ بها خارج ميزانية البنوك الكبرى. وعندما تدهورت الثقة، حاول </w:t>
      </w:r>
      <w:r>
        <w:rPr>
          <w:rFonts w:ascii="Traditional Arabic" w:hAnsi="Traditional Arabic" w:cs="Traditional Arabic" w:hint="cs"/>
          <w:sz w:val="32"/>
          <w:szCs w:val="32"/>
          <w:rtl/>
          <w:lang w:bidi="ar-DZ"/>
        </w:rPr>
        <w:t>ال</w:t>
      </w:r>
      <w:r w:rsidRPr="00EF48C1">
        <w:rPr>
          <w:rFonts w:ascii="Traditional Arabic" w:hAnsi="Traditional Arabic" w:cs="Traditional Arabic"/>
          <w:sz w:val="32"/>
          <w:szCs w:val="32"/>
          <w:rtl/>
          <w:lang w:bidi="ar-DZ"/>
        </w:rPr>
        <w:t>كثير من حائزي الأوراق التجارية التي تساندها أصول وتدعمها منتجات ائتمانية مهيكلة غير سائلة حيازتهم</w:t>
      </w:r>
      <w:r w:rsidR="002A05D8">
        <w:rPr>
          <w:rFonts w:ascii="Traditional Arabic" w:hAnsi="Traditional Arabic" w:cs="Traditional Arabic"/>
          <w:sz w:val="32"/>
          <w:szCs w:val="32"/>
          <w:rtl/>
          <w:lang w:bidi="ar-DZ"/>
        </w:rPr>
        <w:t xml:space="preserve"> </w:t>
      </w:r>
      <w:r w:rsidR="002A05D8">
        <w:rPr>
          <w:rFonts w:ascii="Traditional Arabic" w:hAnsi="Traditional Arabic" w:cs="Traditional Arabic" w:hint="cs"/>
          <w:sz w:val="32"/>
          <w:szCs w:val="32"/>
          <w:rtl/>
          <w:lang w:bidi="ar-DZ"/>
        </w:rPr>
        <w:t>ل</w:t>
      </w:r>
      <w:r w:rsidR="002A05D8">
        <w:rPr>
          <w:rFonts w:ascii="Traditional Arabic" w:hAnsi="Traditional Arabic" w:cs="Traditional Arabic"/>
          <w:sz w:val="32"/>
          <w:szCs w:val="32"/>
          <w:rtl/>
          <w:lang w:bidi="ar-DZ"/>
        </w:rPr>
        <w:t>ل</w:t>
      </w:r>
      <w:r w:rsidRPr="00EF48C1">
        <w:rPr>
          <w:rFonts w:ascii="Traditional Arabic" w:hAnsi="Traditional Arabic" w:cs="Traditional Arabic"/>
          <w:sz w:val="32"/>
          <w:szCs w:val="32"/>
          <w:rtl/>
          <w:lang w:bidi="ar-DZ"/>
        </w:rPr>
        <w:t xml:space="preserve">نقود عندما ساد الشك في أن منتجات الائتمان التي بحوزتهم معرضة لمخاطر الرهن دون الممتاز. وقد أدى نضوب سوق الأوراق التجارية التي تساندها أصول في عام </w:t>
      </w:r>
      <w:r w:rsidRPr="00EF48C1">
        <w:rPr>
          <w:rFonts w:ascii="Traditional Arabic" w:hAnsi="Traditional Arabic" w:cs="Traditional Arabic"/>
          <w:sz w:val="24"/>
          <w:szCs w:val="24"/>
          <w:rtl/>
          <w:lang w:bidi="ar-DZ"/>
        </w:rPr>
        <w:t xml:space="preserve">2007 </w:t>
      </w:r>
      <w:r w:rsidRPr="00EF48C1">
        <w:rPr>
          <w:rFonts w:ascii="Traditional Arabic" w:hAnsi="Traditional Arabic" w:cs="Traditional Arabic"/>
          <w:sz w:val="32"/>
          <w:szCs w:val="32"/>
          <w:rtl/>
          <w:lang w:bidi="ar-DZ"/>
        </w:rPr>
        <w:t>إلى عدم سيولة واسع</w:t>
      </w:r>
      <w:r>
        <w:rPr>
          <w:rFonts w:ascii="Traditional Arabic" w:hAnsi="Traditional Arabic" w:cs="Traditional Arabic" w:hint="cs"/>
          <w:sz w:val="32"/>
          <w:szCs w:val="32"/>
          <w:rtl/>
          <w:lang w:bidi="ar-DZ"/>
        </w:rPr>
        <w:t>ة</w:t>
      </w:r>
      <w:r w:rsidRPr="00EF48C1">
        <w:rPr>
          <w:rFonts w:ascii="Traditional Arabic" w:hAnsi="Traditional Arabic" w:cs="Traditional Arabic"/>
          <w:sz w:val="32"/>
          <w:szCs w:val="32"/>
          <w:rtl/>
          <w:lang w:bidi="ar-DZ"/>
        </w:rPr>
        <w:t xml:space="preserve"> النطاق في سوق ما بين البنوك، إذ أصبحت البنوك غير واثقة من احتياجاتها للسيولة، فاكتنزت</w:t>
      </w:r>
      <w:r>
        <w:rPr>
          <w:rFonts w:ascii="Traditional Arabic" w:hAnsi="Traditional Arabic" w:cs="Traditional Arabic" w:hint="cs"/>
          <w:sz w:val="32"/>
          <w:szCs w:val="32"/>
          <w:rtl/>
          <w:lang w:bidi="ar-DZ"/>
        </w:rPr>
        <w:t>ها</w:t>
      </w:r>
      <w:r w:rsidRPr="00EF48C1">
        <w:rPr>
          <w:rFonts w:ascii="Traditional Arabic" w:hAnsi="Traditional Arabic" w:cs="Traditional Arabic"/>
          <w:sz w:val="32"/>
          <w:szCs w:val="32"/>
          <w:rtl/>
          <w:lang w:bidi="ar-DZ"/>
        </w:rPr>
        <w:t xml:space="preserve">، مما زاد من تفاقم عدم السيولة في ما بين البنوك. </w:t>
      </w:r>
      <w:r>
        <w:rPr>
          <w:rFonts w:ascii="Traditional Arabic" w:hAnsi="Traditional Arabic" w:cs="Traditional Arabic" w:hint="cs"/>
          <w:sz w:val="32"/>
          <w:szCs w:val="32"/>
          <w:rtl/>
          <w:lang w:bidi="ar-DZ"/>
        </w:rPr>
        <w:t xml:space="preserve">  </w:t>
      </w:r>
      <w:r w:rsidR="002A05D8">
        <w:rPr>
          <w:rFonts w:ascii="Traditional Arabic" w:hAnsi="Traditional Arabic" w:cs="Traditional Arabic" w:hint="cs"/>
          <w:sz w:val="32"/>
          <w:szCs w:val="32"/>
          <w:rtl/>
          <w:lang w:bidi="ar-DZ"/>
        </w:rPr>
        <w:t xml:space="preserve"> </w:t>
      </w:r>
    </w:p>
    <w:p w:rsidR="00EF7BD4" w:rsidRPr="009C5E0C" w:rsidRDefault="00EF7BD4" w:rsidP="00EF7BD4">
      <w:pPr>
        <w:tabs>
          <w:tab w:val="right" w:pos="567"/>
        </w:tabs>
        <w:bidi/>
        <w:jc w:val="both"/>
        <w:rPr>
          <w:rFonts w:ascii="Traditional Arabic" w:hAnsi="Traditional Arabic" w:cs="Traditional Arabic"/>
          <w:sz w:val="32"/>
          <w:szCs w:val="32"/>
          <w:rtl/>
          <w:lang w:bidi="ar-DZ"/>
        </w:rPr>
      </w:pPr>
      <w:r w:rsidRPr="009C5E0C">
        <w:rPr>
          <w:rFonts w:ascii="Traditional Arabic" w:hAnsi="Traditional Arabic" w:cs="Traditional Arabic"/>
          <w:sz w:val="32"/>
          <w:szCs w:val="32"/>
          <w:rtl/>
          <w:lang w:bidi="ar-DZ"/>
        </w:rPr>
        <w:t xml:space="preserve">     </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Pr="009C5E0C">
        <w:rPr>
          <w:rFonts w:ascii="Traditional Arabic" w:hAnsi="Traditional Arabic" w:cs="Traditional Arabic"/>
          <w:sz w:val="32"/>
          <w:szCs w:val="32"/>
          <w:rtl/>
          <w:lang w:bidi="ar-DZ"/>
        </w:rPr>
        <w:t xml:space="preserve">على الرغم من دعم البنوك المركزية للسيولة، وبتخفيضها لأسعار الفائدة، فقد تعمقت الأزمة واتسع نطاقها، وأصبحت الخسائر لا تشمل المؤسسات المالية الكبرى تلك المرتبطة بالرهونات الأمريكية دون الممتازة فحسب، بل تشمل الأنماط الأخرى من الرهونات الأمريكية والعقارات التجارية وقروض الشركات. كما يقدر صندوق النقد الدولي في عام </w:t>
      </w:r>
      <w:r w:rsidRPr="009C5E0C">
        <w:rPr>
          <w:rFonts w:ascii="Traditional Arabic" w:hAnsi="Traditional Arabic" w:cs="Traditional Arabic"/>
          <w:sz w:val="24"/>
          <w:szCs w:val="24"/>
          <w:rtl/>
          <w:lang w:bidi="ar-DZ"/>
        </w:rPr>
        <w:t xml:space="preserve">2008 </w:t>
      </w:r>
      <w:r w:rsidRPr="009C5E0C">
        <w:rPr>
          <w:rFonts w:ascii="Traditional Arabic" w:hAnsi="Traditional Arabic" w:cs="Traditional Arabic" w:hint="cs"/>
          <w:sz w:val="32"/>
          <w:szCs w:val="32"/>
          <w:rtl/>
          <w:lang w:bidi="ar-DZ"/>
        </w:rPr>
        <w:t xml:space="preserve">إلى </w:t>
      </w:r>
      <w:r w:rsidRPr="009C5E0C">
        <w:rPr>
          <w:rFonts w:ascii="Traditional Arabic" w:hAnsi="Traditional Arabic" w:cs="Traditional Arabic"/>
          <w:sz w:val="32"/>
          <w:szCs w:val="32"/>
          <w:rtl/>
          <w:lang w:bidi="ar-DZ"/>
        </w:rPr>
        <w:t>أن خسائر</w:t>
      </w:r>
      <w:r w:rsidR="00876B49">
        <w:rPr>
          <w:rFonts w:ascii="Traditional Arabic" w:hAnsi="Traditional Arabic" w:cs="Traditional Arabic"/>
          <w:sz w:val="32"/>
          <w:szCs w:val="32"/>
          <w:rtl/>
          <w:lang w:bidi="ar-DZ"/>
        </w:rPr>
        <w:t xml:space="preserve"> الولايات المتحدة الأمريكية </w:t>
      </w:r>
      <w:r w:rsidRPr="009C5E0C">
        <w:rPr>
          <w:rFonts w:ascii="Traditional Arabic" w:hAnsi="Traditional Arabic" w:cs="Traditional Arabic"/>
          <w:sz w:val="32"/>
          <w:szCs w:val="32"/>
          <w:rtl/>
          <w:lang w:bidi="ar-DZ"/>
        </w:rPr>
        <w:t>بلغ</w:t>
      </w:r>
      <w:r w:rsidR="00876B49">
        <w:rPr>
          <w:rFonts w:ascii="Traditional Arabic" w:hAnsi="Traditional Arabic" w:cs="Traditional Arabic" w:hint="cs"/>
          <w:sz w:val="32"/>
          <w:szCs w:val="32"/>
          <w:rtl/>
          <w:lang w:bidi="ar-DZ"/>
        </w:rPr>
        <w:t>ت</w:t>
      </w:r>
      <w:r w:rsidRPr="009C5E0C">
        <w:rPr>
          <w:rFonts w:ascii="Traditional Arabic" w:hAnsi="Traditional Arabic" w:cs="Traditional Arabic"/>
          <w:sz w:val="32"/>
          <w:szCs w:val="32"/>
          <w:rtl/>
          <w:lang w:bidi="ar-DZ"/>
        </w:rPr>
        <w:t xml:space="preserve"> </w:t>
      </w:r>
      <w:r w:rsidRPr="009C5E0C">
        <w:rPr>
          <w:rFonts w:ascii="Traditional Arabic" w:hAnsi="Traditional Arabic" w:cs="Traditional Arabic"/>
          <w:sz w:val="24"/>
          <w:szCs w:val="24"/>
          <w:rtl/>
          <w:lang w:bidi="ar-DZ"/>
        </w:rPr>
        <w:t xml:space="preserve">940 </w:t>
      </w:r>
      <w:r w:rsidRPr="009C5E0C">
        <w:rPr>
          <w:rFonts w:ascii="Traditional Arabic" w:hAnsi="Traditional Arabic" w:cs="Traditional Arabic"/>
          <w:sz w:val="32"/>
          <w:szCs w:val="32"/>
          <w:rtl/>
          <w:lang w:bidi="ar-DZ"/>
        </w:rPr>
        <w:t>مليار</w:t>
      </w:r>
      <w:r>
        <w:rPr>
          <w:rFonts w:ascii="Traditional Arabic" w:hAnsi="Traditional Arabic" w:cs="Traditional Arabic" w:hint="cs"/>
          <w:sz w:val="32"/>
          <w:szCs w:val="32"/>
          <w:rtl/>
          <w:lang w:bidi="ar-DZ"/>
        </w:rPr>
        <w:t xml:space="preserve"> دولار</w:t>
      </w:r>
      <w:r>
        <w:rPr>
          <w:rStyle w:val="Appelnotedebasdep"/>
          <w:rFonts w:ascii="Traditional Arabic" w:hAnsi="Traditional Arabic" w:cs="Traditional Arabic"/>
          <w:sz w:val="32"/>
          <w:szCs w:val="32"/>
          <w:rtl/>
          <w:lang w:bidi="ar-DZ"/>
        </w:rPr>
        <w:footnoteReference w:id="10"/>
      </w:r>
      <w:r w:rsidRPr="009C5E0C">
        <w:rPr>
          <w:rFonts w:ascii="Traditional Arabic" w:hAnsi="Traditional Arabic" w:cs="Traditional Arabic"/>
          <w:sz w:val="32"/>
          <w:szCs w:val="32"/>
          <w:rtl/>
          <w:lang w:bidi="ar-DZ"/>
        </w:rPr>
        <w:t xml:space="preserve">. </w:t>
      </w:r>
    </w:p>
    <w:p w:rsidR="001E6651" w:rsidRDefault="001E6651" w:rsidP="00882303">
      <w:pPr>
        <w:bidi/>
        <w:sectPr w:rsidR="001E6651" w:rsidSect="00D56D73">
          <w:headerReference w:type="default" r:id="rId9"/>
          <w:footerReference w:type="default" r:id="rId10"/>
          <w:footnotePr>
            <w:numStart w:val="291"/>
          </w:footnotePr>
          <w:pgSz w:w="11906" w:h="16838"/>
          <w:pgMar w:top="1417" w:right="1417" w:bottom="1417" w:left="1417" w:header="708" w:footer="708" w:gutter="0"/>
          <w:pgNumType w:start="193"/>
          <w:cols w:space="708"/>
          <w:docGrid w:linePitch="360"/>
        </w:sectPr>
      </w:pPr>
    </w:p>
    <w:p w:rsidR="00CF4CFE" w:rsidRDefault="00CF4CFE" w:rsidP="00CF4CFE">
      <w:pPr>
        <w:bidi/>
        <w:spacing w:after="0"/>
        <w:rPr>
          <w:rFonts w:ascii="Traditional Arabic" w:hAnsi="Traditional Arabic" w:cs="Traditional Arabic"/>
          <w:b/>
          <w:bCs/>
          <w:sz w:val="32"/>
          <w:szCs w:val="32"/>
          <w:rtl/>
        </w:rPr>
      </w:pPr>
      <w:r w:rsidRPr="00080E98">
        <w:rPr>
          <w:rFonts w:ascii="Traditional Arabic" w:hAnsi="Traditional Arabic" w:cs="Traditional Arabic"/>
          <w:b/>
          <w:bCs/>
          <w:sz w:val="32"/>
          <w:szCs w:val="32"/>
          <w:rtl/>
        </w:rPr>
        <w:lastRenderedPageBreak/>
        <w:t xml:space="preserve">المبحث الثاني: انعكاسات الأزمة المالية العالمية على </w:t>
      </w:r>
      <w:r>
        <w:rPr>
          <w:rFonts w:ascii="Traditional Arabic" w:hAnsi="Traditional Arabic" w:cs="Traditional Arabic" w:hint="cs"/>
          <w:b/>
          <w:bCs/>
          <w:sz w:val="32"/>
          <w:szCs w:val="32"/>
          <w:rtl/>
        </w:rPr>
        <w:t>اقتصاديات دول العالم</w:t>
      </w:r>
      <w:r w:rsidRPr="00080E98">
        <w:rPr>
          <w:rFonts w:ascii="Traditional Arabic" w:hAnsi="Traditional Arabic" w:cs="Traditional Arabic"/>
          <w:b/>
          <w:bCs/>
          <w:sz w:val="32"/>
          <w:szCs w:val="32"/>
          <w:rtl/>
        </w:rPr>
        <w:t>:</w:t>
      </w:r>
      <w:r>
        <w:rPr>
          <w:rFonts w:ascii="Traditional Arabic" w:hAnsi="Traditional Arabic" w:cs="Traditional Arabic" w:hint="cs"/>
          <w:b/>
          <w:bCs/>
          <w:sz w:val="32"/>
          <w:szCs w:val="32"/>
          <w:rtl/>
        </w:rPr>
        <w:t xml:space="preserve"> </w:t>
      </w:r>
    </w:p>
    <w:p w:rsidR="00160F3D" w:rsidRPr="0093033C" w:rsidRDefault="00C64E68" w:rsidP="002F2CFE">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00160F3D">
        <w:rPr>
          <w:rFonts w:ascii="Traditional Arabic" w:hAnsi="Traditional Arabic" w:cs="Traditional Arabic" w:hint="cs"/>
          <w:sz w:val="32"/>
          <w:szCs w:val="32"/>
          <w:rtl/>
          <w:lang w:bidi="ar-DZ"/>
        </w:rPr>
        <w:t xml:space="preserve">  </w:t>
      </w:r>
      <w:r w:rsidR="00CA52D9">
        <w:rPr>
          <w:rFonts w:ascii="Traditional Arabic" w:hAnsi="Traditional Arabic" w:cs="Traditional Arabic" w:hint="cs"/>
          <w:sz w:val="32"/>
          <w:szCs w:val="32"/>
          <w:rtl/>
          <w:lang w:bidi="ar-DZ"/>
        </w:rPr>
        <w:t xml:space="preserve"> </w:t>
      </w:r>
      <w:r w:rsidR="00160F3D" w:rsidRPr="0093033C">
        <w:rPr>
          <w:rFonts w:ascii="Traditional Arabic" w:hAnsi="Traditional Arabic" w:cs="Traditional Arabic" w:hint="cs"/>
          <w:sz w:val="32"/>
          <w:szCs w:val="32"/>
          <w:rtl/>
          <w:lang w:bidi="ar-DZ"/>
        </w:rPr>
        <w:t xml:space="preserve">سنتطرق في هذا المبحث إلى انعكاسات الأزمة المالية العالمية على جميع دول العالم، حيث سنتناول أثرها على الاقتصاديات المتقدمة </w:t>
      </w:r>
      <w:r w:rsidR="00160F3D">
        <w:rPr>
          <w:rFonts w:ascii="Traditional Arabic" w:hAnsi="Traditional Arabic" w:cs="Traditional Arabic" w:hint="cs"/>
          <w:sz w:val="32"/>
          <w:szCs w:val="32"/>
          <w:rtl/>
          <w:lang w:bidi="ar-DZ"/>
        </w:rPr>
        <w:t>و</w:t>
      </w:r>
      <w:r w:rsidR="00160F3D" w:rsidRPr="0093033C">
        <w:rPr>
          <w:rFonts w:ascii="Traditional Arabic" w:hAnsi="Traditional Arabic" w:cs="Traditional Arabic" w:hint="cs"/>
          <w:sz w:val="32"/>
          <w:szCs w:val="32"/>
          <w:rtl/>
          <w:lang w:bidi="ar-DZ"/>
        </w:rPr>
        <w:t xml:space="preserve">الأسواق </w:t>
      </w:r>
      <w:r w:rsidR="00CA52D9">
        <w:rPr>
          <w:rFonts w:ascii="Traditional Arabic" w:hAnsi="Traditional Arabic" w:cs="Traditional Arabic" w:hint="cs"/>
          <w:sz w:val="32"/>
          <w:szCs w:val="32"/>
          <w:rtl/>
          <w:lang w:bidi="ar-DZ"/>
        </w:rPr>
        <w:t>الناشئة</w:t>
      </w:r>
      <w:r w:rsidR="00160F3D" w:rsidRPr="0093033C">
        <w:rPr>
          <w:rFonts w:ascii="Traditional Arabic" w:hAnsi="Traditional Arabic" w:cs="Traditional Arabic" w:hint="cs"/>
          <w:sz w:val="32"/>
          <w:szCs w:val="32"/>
          <w:rtl/>
          <w:lang w:bidi="ar-DZ"/>
        </w:rPr>
        <w:t xml:space="preserve">، وعلى اقتصاديات البلدان منخفضة الدخل. </w:t>
      </w:r>
      <w:r w:rsidR="00160F3D">
        <w:rPr>
          <w:rFonts w:ascii="Traditional Arabic" w:hAnsi="Traditional Arabic" w:cs="Traditional Arabic" w:hint="cs"/>
          <w:sz w:val="32"/>
          <w:szCs w:val="32"/>
          <w:rtl/>
          <w:lang w:bidi="ar-DZ"/>
        </w:rPr>
        <w:t xml:space="preserve"> </w:t>
      </w:r>
      <w:r w:rsidR="002F61D3">
        <w:rPr>
          <w:rFonts w:ascii="Traditional Arabic" w:hAnsi="Traditional Arabic" w:cs="Traditional Arabic" w:hint="cs"/>
          <w:sz w:val="32"/>
          <w:szCs w:val="32"/>
          <w:rtl/>
          <w:lang w:bidi="ar-DZ"/>
        </w:rPr>
        <w:t xml:space="preserve">  </w:t>
      </w:r>
      <w:r w:rsidR="00160F3D">
        <w:rPr>
          <w:rFonts w:ascii="Traditional Arabic" w:hAnsi="Traditional Arabic" w:cs="Traditional Arabic" w:hint="cs"/>
          <w:sz w:val="32"/>
          <w:szCs w:val="32"/>
          <w:rtl/>
          <w:lang w:bidi="ar-DZ"/>
        </w:rPr>
        <w:t xml:space="preserve"> </w:t>
      </w:r>
      <w:r w:rsidR="00160F3D" w:rsidRPr="0093033C">
        <w:rPr>
          <w:rFonts w:ascii="Traditional Arabic" w:hAnsi="Traditional Arabic" w:cs="Traditional Arabic" w:hint="cs"/>
          <w:sz w:val="32"/>
          <w:szCs w:val="32"/>
          <w:rtl/>
          <w:lang w:bidi="ar-DZ"/>
        </w:rPr>
        <w:t xml:space="preserve"> </w:t>
      </w:r>
      <w:r w:rsidR="00160F3D">
        <w:rPr>
          <w:rFonts w:ascii="Traditional Arabic" w:hAnsi="Traditional Arabic" w:cs="Traditional Arabic" w:hint="cs"/>
          <w:sz w:val="32"/>
          <w:szCs w:val="32"/>
          <w:rtl/>
          <w:lang w:bidi="ar-DZ"/>
        </w:rPr>
        <w:t xml:space="preserve"> </w:t>
      </w:r>
      <w:r w:rsidR="00CA52D9">
        <w:rPr>
          <w:rFonts w:ascii="Traditional Arabic" w:hAnsi="Traditional Arabic" w:cs="Traditional Arabic" w:hint="cs"/>
          <w:sz w:val="32"/>
          <w:szCs w:val="32"/>
          <w:rtl/>
          <w:lang w:bidi="ar-DZ"/>
        </w:rPr>
        <w:t xml:space="preserve"> </w:t>
      </w:r>
      <w:r w:rsidR="00160F3D">
        <w:rPr>
          <w:rFonts w:ascii="Traditional Arabic" w:hAnsi="Traditional Arabic" w:cs="Traditional Arabic" w:hint="cs"/>
          <w:sz w:val="32"/>
          <w:szCs w:val="32"/>
          <w:rtl/>
          <w:lang w:bidi="ar-DZ"/>
        </w:rPr>
        <w:t xml:space="preserve"> </w:t>
      </w:r>
    </w:p>
    <w:p w:rsidR="00CF4CFE" w:rsidRPr="004633E7" w:rsidRDefault="00CF4CFE" w:rsidP="00CF4CFE">
      <w:pPr>
        <w:bidi/>
        <w:spacing w:after="0"/>
        <w:rPr>
          <w:rFonts w:ascii="Traditional Arabic" w:hAnsi="Traditional Arabic" w:cs="Traditional Arabic"/>
          <w:b/>
          <w:bCs/>
          <w:sz w:val="32"/>
          <w:szCs w:val="32"/>
          <w:lang w:bidi="ar-DZ"/>
        </w:rPr>
      </w:pPr>
      <w:r w:rsidRPr="004633E7">
        <w:rPr>
          <w:rFonts w:ascii="Traditional Arabic" w:hAnsi="Traditional Arabic" w:cs="Traditional Arabic"/>
          <w:b/>
          <w:bCs/>
          <w:sz w:val="32"/>
          <w:szCs w:val="32"/>
          <w:rtl/>
          <w:lang w:bidi="ar-DZ"/>
        </w:rPr>
        <w:t xml:space="preserve">المطلب الأول: انعكاسات الأزمة المالية على الاقتصاديات المتقدمة: </w:t>
      </w:r>
    </w:p>
    <w:p w:rsidR="00CF4CFE" w:rsidRPr="004633E7"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تدهور الوضع في الاقتصاديات المتقدمة بسرعة بعد عجز واحد من أكبر البنوك الاستثمارية الأمريكية (بنك ليمان براذرز) عن سداد التزاماته في سبتمبر </w:t>
      </w:r>
      <w:r w:rsidRPr="004633E7">
        <w:rPr>
          <w:rFonts w:ascii="Traditional Arabic" w:hAnsi="Traditional Arabic" w:cs="Traditional Arabic"/>
          <w:sz w:val="24"/>
          <w:szCs w:val="24"/>
          <w:rtl/>
          <w:lang w:bidi="ar-DZ"/>
        </w:rPr>
        <w:t>2008</w:t>
      </w:r>
      <w:r w:rsidRPr="004633E7">
        <w:rPr>
          <w:rFonts w:ascii="Traditional Arabic" w:hAnsi="Traditional Arabic" w:cs="Traditional Arabic"/>
          <w:sz w:val="32"/>
          <w:szCs w:val="32"/>
          <w:rtl/>
          <w:lang w:bidi="ar-DZ"/>
        </w:rPr>
        <w:t xml:space="preserve">، وبعد تقديم الدعم من الأموال العامة لأكبر شركة تأمين أمريكية (المجموعة الأمريكية الدولية </w:t>
      </w:r>
      <w:r w:rsidRPr="004633E7">
        <w:rPr>
          <w:rFonts w:ascii="Traditional Arabic" w:hAnsi="Traditional Arabic" w:cs="Traditional Arabic"/>
          <w:sz w:val="24"/>
          <w:szCs w:val="24"/>
          <w:lang w:bidi="ar-DZ"/>
        </w:rPr>
        <w:t>AIG</w:t>
      </w:r>
      <w:r>
        <w:rPr>
          <w:rFonts w:ascii="Traditional Arabic" w:hAnsi="Traditional Arabic" w:cs="Traditional Arabic" w:hint="cs"/>
          <w:sz w:val="32"/>
          <w:szCs w:val="32"/>
          <w:rtl/>
          <w:lang w:bidi="ar-DZ"/>
        </w:rPr>
        <w:t>)،</w:t>
      </w:r>
      <w:r w:rsidRPr="004633E7">
        <w:rPr>
          <w:rFonts w:ascii="Traditional Arabic" w:hAnsi="Traditional Arabic" w:cs="Traditional Arabic"/>
          <w:sz w:val="32"/>
          <w:szCs w:val="32"/>
          <w:rtl/>
          <w:lang w:bidi="ar-DZ"/>
        </w:rPr>
        <w:t xml:space="preserve"> فضلا عن التدخل الحكومي في مجموعة من المؤسسات الأخرى ذات الأهمية بالنسبة للنظام المالي في كل من الولايات المتحدة</w:t>
      </w:r>
      <w:r>
        <w:rPr>
          <w:rFonts w:ascii="Traditional Arabic" w:hAnsi="Traditional Arabic" w:cs="Traditional Arabic" w:hint="cs"/>
          <w:sz w:val="32"/>
          <w:szCs w:val="32"/>
          <w:rtl/>
          <w:lang w:bidi="ar-DZ"/>
        </w:rPr>
        <w:t xml:space="preserve"> الأمريكية</w:t>
      </w:r>
      <w:r w:rsidRPr="004633E7">
        <w:rPr>
          <w:rFonts w:ascii="Traditional Arabic" w:hAnsi="Traditional Arabic" w:cs="Traditional Arabic"/>
          <w:sz w:val="32"/>
          <w:szCs w:val="32"/>
          <w:rtl/>
          <w:lang w:bidi="ar-DZ"/>
        </w:rPr>
        <w:t xml:space="preserve"> وأوروبا. وأدت هذه الأحداث إلى إثارة الشكوك حول مدى ملاءة العديد من المؤسسات المالية القوية، مما أدى إلى تلاشي التمويل بالجملة، وإقفال أسواق سندات الدين الخارجية، وانخفاض نسب الرفع المالي على نحو غير منظم في باقي أنحاء النظام المالي العالمي. فانكمش إجمالي التدفقات الرأسمالية العا</w:t>
      </w:r>
      <w:r>
        <w:rPr>
          <w:rFonts w:ascii="Traditional Arabic" w:hAnsi="Traditional Arabic" w:cs="Traditional Arabic"/>
          <w:sz w:val="32"/>
          <w:szCs w:val="32"/>
          <w:rtl/>
          <w:lang w:bidi="ar-DZ"/>
        </w:rPr>
        <w:t xml:space="preserve">لمية، حيث أصبحت التدفقات </w:t>
      </w:r>
      <w:r>
        <w:rPr>
          <w:rFonts w:ascii="Traditional Arabic" w:hAnsi="Traditional Arabic" w:cs="Traditional Arabic" w:hint="cs"/>
          <w:sz w:val="32"/>
          <w:szCs w:val="32"/>
          <w:rtl/>
          <w:lang w:bidi="ar-DZ"/>
        </w:rPr>
        <w:t>ت</w:t>
      </w:r>
      <w:r>
        <w:rPr>
          <w:rFonts w:ascii="Traditional Arabic" w:hAnsi="Traditional Arabic" w:cs="Traditional Arabic"/>
          <w:sz w:val="32"/>
          <w:szCs w:val="32"/>
          <w:rtl/>
          <w:lang w:bidi="ar-DZ"/>
        </w:rPr>
        <w:t>ت</w:t>
      </w:r>
      <w:r w:rsidRPr="004633E7">
        <w:rPr>
          <w:rFonts w:ascii="Traditional Arabic" w:hAnsi="Traditional Arabic" w:cs="Traditional Arabic"/>
          <w:sz w:val="32"/>
          <w:szCs w:val="32"/>
          <w:rtl/>
          <w:lang w:bidi="ar-DZ"/>
        </w:rPr>
        <w:t xml:space="preserve">جه إلى البلدان التي تمثل أسواقها ملاذا آمنا تتوافر فيه صفة السيولة. وبالتالي، ارتفعت قيمة الدولار الأمريكي والين الياباني ارتفاعا حادا بالقيمة الفعلية الحقيقية في النصف الثاني من </w:t>
      </w:r>
      <w:r w:rsidRPr="004633E7">
        <w:rPr>
          <w:rFonts w:ascii="Traditional Arabic" w:hAnsi="Traditional Arabic" w:cs="Traditional Arabic"/>
          <w:sz w:val="24"/>
          <w:szCs w:val="24"/>
          <w:rtl/>
          <w:lang w:bidi="ar-DZ"/>
        </w:rPr>
        <w:t>2008</w:t>
      </w:r>
      <w:r w:rsidR="004C620E">
        <w:rPr>
          <w:rFonts w:ascii="Traditional Arabic" w:hAnsi="Traditional Arabic" w:cs="Traditional Arabic"/>
          <w:sz w:val="32"/>
          <w:szCs w:val="32"/>
          <w:rtl/>
          <w:lang w:bidi="ar-DZ"/>
        </w:rPr>
        <w:t>، بينما ظل ال</w:t>
      </w:r>
      <w:r w:rsidR="004C620E">
        <w:rPr>
          <w:rFonts w:ascii="Traditional Arabic" w:hAnsi="Traditional Arabic" w:cs="Traditional Arabic" w:hint="cs"/>
          <w:sz w:val="32"/>
          <w:szCs w:val="32"/>
          <w:rtl/>
          <w:lang w:bidi="ar-DZ"/>
        </w:rPr>
        <w:t>أ</w:t>
      </w:r>
      <w:r w:rsidRPr="004633E7">
        <w:rPr>
          <w:rFonts w:ascii="Traditional Arabic" w:hAnsi="Traditional Arabic" w:cs="Traditional Arabic"/>
          <w:sz w:val="32"/>
          <w:szCs w:val="32"/>
          <w:rtl/>
          <w:lang w:bidi="ar-DZ"/>
        </w:rPr>
        <w:t xml:space="preserve">ورو مستقرا إلى حد كبير. </w:t>
      </w:r>
    </w:p>
    <w:p w:rsidR="00793826" w:rsidRDefault="00CF4CFE" w:rsidP="0079382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Pr="004633E7">
        <w:rPr>
          <w:rFonts w:ascii="Traditional Arabic" w:hAnsi="Traditional Arabic" w:cs="Traditional Arabic"/>
          <w:sz w:val="32"/>
          <w:szCs w:val="32"/>
          <w:rtl/>
          <w:lang w:bidi="ar-DZ"/>
        </w:rPr>
        <w:t xml:space="preserve">في أواخر عام </w:t>
      </w:r>
      <w:r w:rsidRPr="004633E7">
        <w:rPr>
          <w:rFonts w:ascii="Traditional Arabic" w:hAnsi="Traditional Arabic" w:cs="Traditional Arabic"/>
          <w:sz w:val="24"/>
          <w:szCs w:val="24"/>
          <w:rtl/>
          <w:lang w:bidi="ar-DZ"/>
        </w:rPr>
        <w:t xml:space="preserve">2008 </w:t>
      </w:r>
      <w:r w:rsidRPr="004633E7">
        <w:rPr>
          <w:rFonts w:ascii="Traditional Arabic" w:hAnsi="Traditional Arabic" w:cs="Traditional Arabic"/>
          <w:sz w:val="32"/>
          <w:szCs w:val="32"/>
          <w:rtl/>
          <w:lang w:bidi="ar-DZ"/>
        </w:rPr>
        <w:t>شهدت الأسواق</w:t>
      </w:r>
      <w:r>
        <w:rPr>
          <w:rFonts w:ascii="Traditional Arabic" w:hAnsi="Traditional Arabic" w:cs="Traditional Arabic"/>
          <w:sz w:val="32"/>
          <w:szCs w:val="32"/>
          <w:rtl/>
          <w:lang w:bidi="ar-DZ"/>
        </w:rPr>
        <w:t xml:space="preserve"> المالية حالة من</w:t>
      </w:r>
      <w:r>
        <w:rPr>
          <w:rFonts w:ascii="Traditional Arabic" w:hAnsi="Traditional Arabic" w:cs="Traditional Arabic" w:hint="cs"/>
          <w:sz w:val="32"/>
          <w:szCs w:val="32"/>
          <w:rtl/>
          <w:lang w:bidi="ar-DZ"/>
        </w:rPr>
        <w:t xml:space="preserve"> عدم</w:t>
      </w:r>
      <w:r>
        <w:rPr>
          <w:rFonts w:ascii="Traditional Arabic" w:hAnsi="Traditional Arabic" w:cs="Traditional Arabic"/>
          <w:sz w:val="32"/>
          <w:szCs w:val="32"/>
          <w:rtl/>
          <w:lang w:bidi="ar-DZ"/>
        </w:rPr>
        <w:t xml:space="preserve"> الاستقرار، و</w:t>
      </w:r>
      <w:r w:rsidRPr="004633E7">
        <w:rPr>
          <w:rFonts w:ascii="Traditional Arabic" w:hAnsi="Traditional Arabic" w:cs="Traditional Arabic"/>
          <w:sz w:val="32"/>
          <w:szCs w:val="32"/>
          <w:rtl/>
          <w:lang w:bidi="ar-DZ"/>
        </w:rPr>
        <w:t>ظلت خا</w:t>
      </w:r>
      <w:r>
        <w:rPr>
          <w:rFonts w:ascii="Traditional Arabic" w:hAnsi="Traditional Arabic" w:cs="Traditional Arabic"/>
          <w:sz w:val="32"/>
          <w:szCs w:val="32"/>
          <w:rtl/>
          <w:lang w:bidi="ar-DZ"/>
        </w:rPr>
        <w:t>ضعة للضغوط في</w:t>
      </w:r>
      <w:r w:rsidRPr="004633E7">
        <w:rPr>
          <w:rFonts w:ascii="Traditional Arabic" w:hAnsi="Traditional Arabic" w:cs="Traditional Arabic"/>
          <w:sz w:val="32"/>
          <w:szCs w:val="32"/>
          <w:rtl/>
          <w:lang w:bidi="ar-DZ"/>
        </w:rPr>
        <w:t xml:space="preserve"> السنة المالية </w:t>
      </w:r>
      <w:r w:rsidRPr="004633E7">
        <w:rPr>
          <w:rFonts w:ascii="Traditional Arabic" w:hAnsi="Traditional Arabic" w:cs="Traditional Arabic"/>
          <w:sz w:val="24"/>
          <w:szCs w:val="24"/>
          <w:rtl/>
          <w:lang w:bidi="ar-DZ"/>
        </w:rPr>
        <w:t>2009</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فقد بقيت</w:t>
      </w:r>
      <w:r w:rsidRPr="004633E7">
        <w:rPr>
          <w:rFonts w:ascii="Traditional Arabic" w:hAnsi="Traditional Arabic" w:cs="Traditional Arabic"/>
          <w:sz w:val="32"/>
          <w:szCs w:val="32"/>
          <w:rtl/>
          <w:lang w:bidi="ar-DZ"/>
        </w:rPr>
        <w:t xml:space="preserve"> أوضاع العديد من أسواق الأسهم منخفضة عن مستويات الذروة المسجلة بنسبة تزيد عن </w:t>
      </w:r>
      <w:r w:rsidRPr="004633E7">
        <w:rPr>
          <w:rFonts w:ascii="Traditional Arabic" w:hAnsi="Traditional Arabic" w:cs="Traditional Arabic"/>
          <w:sz w:val="24"/>
          <w:szCs w:val="24"/>
          <w:rtl/>
          <w:lang w:bidi="ar-DZ"/>
        </w:rPr>
        <w:t>40%</w:t>
      </w:r>
      <w:r w:rsidRPr="004633E7">
        <w:rPr>
          <w:rFonts w:ascii="Traditional Arabic" w:hAnsi="Traditional Arabic" w:cs="Traditional Arabic"/>
          <w:sz w:val="32"/>
          <w:szCs w:val="32"/>
          <w:rtl/>
          <w:lang w:bidi="ar-DZ"/>
        </w:rPr>
        <w:t>. وبعد سنوات طويلة من التراكم القياسي للدين، دخلت المؤسسات المالية والأسر المعيش</w:t>
      </w:r>
      <w:r>
        <w:rPr>
          <w:rFonts w:ascii="Traditional Arabic" w:hAnsi="Traditional Arabic" w:cs="Traditional Arabic"/>
          <w:sz w:val="32"/>
          <w:szCs w:val="32"/>
          <w:rtl/>
          <w:lang w:bidi="ar-DZ"/>
        </w:rPr>
        <w:t>ية في مرحلة انخفاض الرفع المالي</w:t>
      </w:r>
      <w:r w:rsidRPr="004633E7">
        <w:rPr>
          <w:rFonts w:ascii="Traditional Arabic" w:hAnsi="Traditional Arabic" w:cs="Traditional Arabic"/>
          <w:sz w:val="32"/>
          <w:szCs w:val="32"/>
          <w:rtl/>
          <w:lang w:bidi="ar-DZ"/>
        </w:rPr>
        <w:t>، مدفوعة بتزايد حالات شطب الديون المصرفية في ظل تدهور جودة الائتمان والتحول في اتجاه الادخار عبر الفترات الزمنية بالنسبة للأسر المعيشية وبعض ال</w:t>
      </w:r>
      <w:r>
        <w:rPr>
          <w:rFonts w:ascii="Traditional Arabic" w:hAnsi="Traditional Arabic" w:cs="Traditional Arabic"/>
          <w:sz w:val="32"/>
          <w:szCs w:val="32"/>
          <w:rtl/>
          <w:lang w:bidi="ar-DZ"/>
        </w:rPr>
        <w:t>شركات</w:t>
      </w:r>
      <w:r w:rsidRPr="004633E7">
        <w:rPr>
          <w:rFonts w:ascii="Traditional Arabic" w:hAnsi="Traditional Arabic" w:cs="Traditional Arabic"/>
          <w:sz w:val="32"/>
          <w:szCs w:val="32"/>
          <w:rtl/>
          <w:lang w:bidi="ar-DZ"/>
        </w:rPr>
        <w:t xml:space="preserve">. فقد اتسع نطاق الضغوط المالية الناجمة عن دورة الرفع المالي وامتد أجلها، نتيجة تناوب حلقة الآثار المرتدة الضارة على الاقتصادي الحقيقي. ومع انكماش </w:t>
      </w:r>
      <w:r>
        <w:rPr>
          <w:rFonts w:ascii="Traditional Arabic" w:hAnsi="Traditional Arabic" w:cs="Traditional Arabic" w:hint="cs"/>
          <w:sz w:val="32"/>
          <w:szCs w:val="32"/>
          <w:rtl/>
          <w:lang w:bidi="ar-DZ"/>
        </w:rPr>
        <w:t>الإنتاج</w:t>
      </w:r>
      <w:r w:rsidRPr="004633E7">
        <w:rPr>
          <w:rFonts w:ascii="Traditional Arabic" w:hAnsi="Traditional Arabic" w:cs="Traditional Arabic"/>
          <w:sz w:val="32"/>
          <w:szCs w:val="32"/>
          <w:rtl/>
          <w:lang w:bidi="ar-DZ"/>
        </w:rPr>
        <w:t>، أدت زيادة احتمالات عدم السداد في قطاعي الشركات والأسر ا</w:t>
      </w:r>
      <w:r w:rsidR="009375A0">
        <w:rPr>
          <w:rFonts w:ascii="Traditional Arabic" w:hAnsi="Traditional Arabic" w:cs="Traditional Arabic"/>
          <w:sz w:val="32"/>
          <w:szCs w:val="32"/>
          <w:rtl/>
          <w:lang w:bidi="ar-DZ"/>
        </w:rPr>
        <w:t xml:space="preserve">لمعيشية إلى </w:t>
      </w:r>
      <w:r>
        <w:rPr>
          <w:rFonts w:ascii="Traditional Arabic" w:hAnsi="Traditional Arabic" w:cs="Traditional Arabic"/>
          <w:sz w:val="32"/>
          <w:szCs w:val="32"/>
          <w:rtl/>
          <w:lang w:bidi="ar-DZ"/>
        </w:rPr>
        <w:t>ز</w:t>
      </w:r>
      <w:r w:rsidRPr="004633E7">
        <w:rPr>
          <w:rFonts w:ascii="Traditional Arabic" w:hAnsi="Traditional Arabic" w:cs="Traditional Arabic"/>
          <w:sz w:val="32"/>
          <w:szCs w:val="32"/>
          <w:rtl/>
          <w:lang w:bidi="ar-DZ"/>
        </w:rPr>
        <w:t>ياد</w:t>
      </w:r>
      <w:r>
        <w:rPr>
          <w:rFonts w:ascii="Traditional Arabic" w:hAnsi="Traditional Arabic" w:cs="Traditional Arabic" w:hint="cs"/>
          <w:sz w:val="32"/>
          <w:szCs w:val="32"/>
          <w:rtl/>
          <w:lang w:bidi="ar-DZ"/>
        </w:rPr>
        <w:t>ة</w:t>
      </w:r>
      <w:r w:rsidRPr="004633E7">
        <w:rPr>
          <w:rFonts w:ascii="Traditional Arabic" w:hAnsi="Traditional Arabic" w:cs="Traditional Arabic"/>
          <w:sz w:val="32"/>
          <w:szCs w:val="32"/>
          <w:rtl/>
          <w:lang w:bidi="ar-DZ"/>
        </w:rPr>
        <w:t xml:space="preserve"> الخسائر المرتبطة بالائتمان في الميزانيات العمومية للبنوك. وفي الربع الرابع من </w:t>
      </w:r>
      <w:r w:rsidRPr="004633E7">
        <w:rPr>
          <w:rFonts w:ascii="Traditional Arabic" w:hAnsi="Traditional Arabic" w:cs="Traditional Arabic"/>
          <w:sz w:val="24"/>
          <w:szCs w:val="24"/>
          <w:rtl/>
          <w:lang w:bidi="ar-DZ"/>
        </w:rPr>
        <w:t>2008</w:t>
      </w:r>
      <w:r w:rsidRPr="004633E7">
        <w:rPr>
          <w:rFonts w:ascii="Traditional Arabic" w:hAnsi="Traditional Arabic" w:cs="Traditional Arabic"/>
          <w:sz w:val="32"/>
          <w:szCs w:val="32"/>
          <w:rtl/>
          <w:lang w:bidi="ar-DZ"/>
        </w:rPr>
        <w:t xml:space="preserve">، شهدت الاقتصاديات المتقدمة انخفاضا غير مسبوق في </w:t>
      </w:r>
      <w:r>
        <w:rPr>
          <w:rFonts w:ascii="Traditional Arabic" w:hAnsi="Traditional Arabic" w:cs="Traditional Arabic" w:hint="cs"/>
          <w:sz w:val="32"/>
          <w:szCs w:val="32"/>
          <w:rtl/>
          <w:lang w:bidi="ar-DZ"/>
        </w:rPr>
        <w:t>الإنتاج</w:t>
      </w:r>
      <w:r w:rsidRPr="004633E7">
        <w:rPr>
          <w:rFonts w:ascii="Traditional Arabic" w:hAnsi="Traditional Arabic" w:cs="Traditional Arabic"/>
          <w:sz w:val="32"/>
          <w:szCs w:val="32"/>
          <w:rtl/>
          <w:lang w:bidi="ar-DZ"/>
        </w:rPr>
        <w:t xml:space="preserve"> بلغ </w:t>
      </w:r>
      <w:r w:rsidRPr="004633E7">
        <w:rPr>
          <w:rFonts w:ascii="Traditional Arabic" w:hAnsi="Traditional Arabic" w:cs="Traditional Arabic"/>
          <w:sz w:val="24"/>
          <w:szCs w:val="24"/>
          <w:rtl/>
          <w:lang w:bidi="ar-DZ"/>
        </w:rPr>
        <w:t xml:space="preserve">70% </w:t>
      </w:r>
      <w:r w:rsidRPr="004633E7">
        <w:rPr>
          <w:rFonts w:ascii="Traditional Arabic" w:hAnsi="Traditional Arabic" w:cs="Traditional Arabic"/>
          <w:sz w:val="32"/>
          <w:szCs w:val="32"/>
          <w:rtl/>
          <w:lang w:bidi="ar-DZ"/>
        </w:rPr>
        <w:t xml:space="preserve">(محسوبا على أساس المعدل السنوي).  </w:t>
      </w:r>
    </w:p>
    <w:p w:rsidR="00CF4CFE" w:rsidRPr="0020549E" w:rsidRDefault="00711DDB" w:rsidP="002B3F0C">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CF4CFE" w:rsidRPr="0020549E">
        <w:rPr>
          <w:rFonts w:ascii="Traditional Arabic" w:hAnsi="Traditional Arabic" w:cs="Traditional Arabic" w:hint="cs"/>
          <w:sz w:val="32"/>
          <w:szCs w:val="32"/>
          <w:rtl/>
          <w:lang w:bidi="ar-DZ"/>
        </w:rPr>
        <w:t xml:space="preserve">كما انخفض معدل نمو الناتج المحلي الحقيقي العالمي من </w:t>
      </w:r>
      <w:r w:rsidR="00CF4CFE" w:rsidRPr="0020549E">
        <w:rPr>
          <w:rFonts w:ascii="Traditional Arabic" w:hAnsi="Traditional Arabic" w:cs="Traditional Arabic" w:hint="cs"/>
          <w:sz w:val="24"/>
          <w:szCs w:val="24"/>
          <w:rtl/>
          <w:lang w:bidi="ar-DZ"/>
        </w:rPr>
        <w:t>5.2</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 xml:space="preserve">في سنة </w:t>
      </w:r>
      <w:r w:rsidR="00CF4CFE" w:rsidRPr="0020549E">
        <w:rPr>
          <w:rFonts w:ascii="Traditional Arabic" w:hAnsi="Traditional Arabic" w:cs="Traditional Arabic" w:hint="cs"/>
          <w:sz w:val="24"/>
          <w:szCs w:val="24"/>
          <w:rtl/>
          <w:lang w:bidi="ar-DZ"/>
        </w:rPr>
        <w:t xml:space="preserve">2007 </w:t>
      </w:r>
      <w:r w:rsidR="00CF4CFE" w:rsidRPr="0020549E">
        <w:rPr>
          <w:rFonts w:ascii="Traditional Arabic" w:hAnsi="Traditional Arabic" w:cs="Traditional Arabic" w:hint="cs"/>
          <w:sz w:val="32"/>
          <w:szCs w:val="32"/>
          <w:rtl/>
          <w:lang w:bidi="ar-DZ"/>
        </w:rPr>
        <w:t xml:space="preserve">إلى </w:t>
      </w:r>
      <w:r w:rsidR="00CF4CFE" w:rsidRPr="0020549E">
        <w:rPr>
          <w:rFonts w:ascii="Traditional Arabic" w:hAnsi="Traditional Arabic" w:cs="Traditional Arabic" w:hint="cs"/>
          <w:sz w:val="24"/>
          <w:szCs w:val="24"/>
          <w:rtl/>
          <w:lang w:bidi="ar-DZ"/>
        </w:rPr>
        <w:t>3</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 xml:space="preserve">خلال سنة </w:t>
      </w:r>
      <w:r w:rsidR="00CF4CFE" w:rsidRPr="0020549E">
        <w:rPr>
          <w:rFonts w:ascii="Traditional Arabic" w:hAnsi="Traditional Arabic" w:cs="Traditional Arabic" w:hint="cs"/>
          <w:sz w:val="24"/>
          <w:szCs w:val="24"/>
          <w:rtl/>
          <w:lang w:bidi="ar-DZ"/>
        </w:rPr>
        <w:t xml:space="preserve">2008 </w:t>
      </w:r>
      <w:r w:rsidR="00CF4CFE" w:rsidRPr="0020549E">
        <w:rPr>
          <w:rFonts w:ascii="Traditional Arabic" w:hAnsi="Traditional Arabic" w:cs="Traditional Arabic" w:hint="cs"/>
          <w:sz w:val="32"/>
          <w:szCs w:val="32"/>
          <w:rtl/>
          <w:lang w:bidi="ar-DZ"/>
        </w:rPr>
        <w:t>و</w:t>
      </w:r>
      <w:r w:rsidR="00CF4CFE" w:rsidRPr="0020549E">
        <w:rPr>
          <w:rFonts w:ascii="Traditional Arabic" w:hAnsi="Traditional Arabic" w:cs="Traditional Arabic" w:hint="cs"/>
          <w:sz w:val="24"/>
          <w:szCs w:val="24"/>
          <w:rtl/>
          <w:lang w:bidi="ar-DZ"/>
        </w:rPr>
        <w:t>0.8-</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في سنة</w:t>
      </w:r>
      <w:r w:rsidR="00CF4CFE" w:rsidRPr="0020549E">
        <w:rPr>
          <w:rFonts w:ascii="Traditional Arabic" w:hAnsi="Traditional Arabic" w:cs="Traditional Arabic" w:hint="cs"/>
          <w:sz w:val="40"/>
          <w:szCs w:val="40"/>
          <w:rtl/>
          <w:lang w:bidi="ar-DZ"/>
        </w:rPr>
        <w:t xml:space="preserve"> </w:t>
      </w:r>
      <w:r w:rsidR="00CF4CFE" w:rsidRPr="0020549E">
        <w:rPr>
          <w:rFonts w:ascii="Traditional Arabic" w:hAnsi="Traditional Arabic" w:cs="Traditional Arabic" w:hint="cs"/>
          <w:sz w:val="24"/>
          <w:szCs w:val="24"/>
          <w:rtl/>
          <w:lang w:bidi="ar-DZ"/>
        </w:rPr>
        <w:t>2009</w:t>
      </w:r>
      <w:r>
        <w:rPr>
          <w:rFonts w:ascii="Traditional Arabic" w:hAnsi="Traditional Arabic" w:cs="Traditional Arabic" w:hint="cs"/>
          <w:sz w:val="24"/>
          <w:szCs w:val="24"/>
          <w:rtl/>
          <w:lang w:bidi="ar-DZ"/>
        </w:rPr>
        <w:t xml:space="preserve"> </w:t>
      </w:r>
      <w:r w:rsidRPr="00711DDB">
        <w:rPr>
          <w:rFonts w:ascii="Traditional Arabic" w:hAnsi="Traditional Arabic" w:cs="Traditional Arabic" w:hint="cs"/>
          <w:sz w:val="32"/>
          <w:szCs w:val="32"/>
          <w:rtl/>
          <w:lang w:bidi="ar-DZ"/>
        </w:rPr>
        <w:t xml:space="preserve">(أنظر الجدول رقم </w:t>
      </w:r>
      <w:r w:rsidRPr="00711DDB">
        <w:rPr>
          <w:rFonts w:ascii="Traditional Arabic" w:hAnsi="Traditional Arabic" w:cs="Traditional Arabic" w:hint="cs"/>
          <w:sz w:val="24"/>
          <w:szCs w:val="24"/>
          <w:rtl/>
          <w:lang w:bidi="ar-DZ"/>
        </w:rPr>
        <w:t>12</w:t>
      </w:r>
      <w:r w:rsidRPr="00711DDB">
        <w:rPr>
          <w:rFonts w:ascii="Traditional Arabic" w:hAnsi="Traditional Arabic" w:cs="Traditional Arabic" w:hint="cs"/>
          <w:sz w:val="32"/>
          <w:szCs w:val="32"/>
          <w:rtl/>
          <w:lang w:bidi="ar-DZ"/>
        </w:rPr>
        <w:t>)</w:t>
      </w:r>
      <w:r w:rsidR="00CF4CFE" w:rsidRPr="00711DDB">
        <w:rPr>
          <w:rFonts w:ascii="Traditional Arabic" w:hAnsi="Traditional Arabic" w:cs="Traditional Arabic" w:hint="cs"/>
          <w:sz w:val="32"/>
          <w:szCs w:val="32"/>
          <w:rtl/>
          <w:lang w:bidi="ar-DZ"/>
        </w:rPr>
        <w:t>،</w:t>
      </w:r>
      <w:r w:rsidR="00CF4CFE" w:rsidRPr="0020549E">
        <w:rPr>
          <w:rFonts w:ascii="Traditional Arabic" w:hAnsi="Traditional Arabic" w:cs="Traditional Arabic" w:hint="cs"/>
          <w:sz w:val="32"/>
          <w:szCs w:val="32"/>
          <w:rtl/>
          <w:lang w:bidi="ar-DZ"/>
        </w:rPr>
        <w:t xml:space="preserve"> أما في الدول</w:t>
      </w:r>
      <w:r w:rsidR="00CF4CFE">
        <w:rPr>
          <w:rFonts w:ascii="Traditional Arabic" w:hAnsi="Traditional Arabic" w:cs="Traditional Arabic" w:hint="cs"/>
          <w:sz w:val="32"/>
          <w:szCs w:val="32"/>
          <w:rtl/>
          <w:lang w:bidi="ar-DZ"/>
        </w:rPr>
        <w:t xml:space="preserve"> ذات الاقتصاديات</w:t>
      </w:r>
      <w:r w:rsidR="00CF4CFE" w:rsidRPr="0020549E">
        <w:rPr>
          <w:rFonts w:ascii="Traditional Arabic" w:hAnsi="Traditional Arabic" w:cs="Traditional Arabic" w:hint="cs"/>
          <w:sz w:val="32"/>
          <w:szCs w:val="32"/>
          <w:rtl/>
          <w:lang w:bidi="ar-DZ"/>
        </w:rPr>
        <w:t xml:space="preserve"> المتقدمة فانخفض من </w:t>
      </w:r>
      <w:r w:rsidR="00CF4CFE" w:rsidRPr="0020549E">
        <w:rPr>
          <w:rFonts w:ascii="Traditional Arabic" w:hAnsi="Traditional Arabic" w:cs="Traditional Arabic" w:hint="cs"/>
          <w:sz w:val="24"/>
          <w:szCs w:val="24"/>
          <w:rtl/>
          <w:lang w:bidi="ar-DZ"/>
        </w:rPr>
        <w:t>2.7</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lastRenderedPageBreak/>
        <w:t xml:space="preserve">إلى </w:t>
      </w:r>
      <w:r w:rsidR="00CF4CFE" w:rsidRPr="0020549E">
        <w:rPr>
          <w:rFonts w:ascii="Traditional Arabic" w:hAnsi="Traditional Arabic" w:cs="Traditional Arabic" w:hint="cs"/>
          <w:sz w:val="24"/>
          <w:szCs w:val="24"/>
          <w:rtl/>
          <w:lang w:bidi="ar-DZ"/>
        </w:rPr>
        <w:t>0.5</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32"/>
          <w:szCs w:val="32"/>
          <w:rtl/>
          <w:lang w:bidi="ar-DZ"/>
        </w:rPr>
        <w:t xml:space="preserve">، ثم </w:t>
      </w:r>
      <w:r w:rsidR="00CF4CFE" w:rsidRPr="0020549E">
        <w:rPr>
          <w:rFonts w:ascii="Traditional Arabic" w:hAnsi="Traditional Arabic" w:cs="Traditional Arabic" w:hint="cs"/>
          <w:sz w:val="24"/>
          <w:szCs w:val="24"/>
          <w:rtl/>
          <w:lang w:bidi="ar-DZ"/>
        </w:rPr>
        <w:t>3.2-</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 xml:space="preserve">خلال سنوات </w:t>
      </w:r>
      <w:r w:rsidR="00CF4CFE" w:rsidRPr="0020549E">
        <w:rPr>
          <w:rFonts w:ascii="Traditional Arabic" w:hAnsi="Traditional Arabic" w:cs="Traditional Arabic" w:hint="cs"/>
          <w:sz w:val="24"/>
          <w:szCs w:val="24"/>
          <w:rtl/>
          <w:lang w:bidi="ar-DZ"/>
        </w:rPr>
        <w:t>2007</w:t>
      </w:r>
      <w:r w:rsidR="00CF4CFE" w:rsidRPr="0020549E">
        <w:rPr>
          <w:rFonts w:ascii="Traditional Arabic" w:hAnsi="Traditional Arabic" w:cs="Traditional Arabic" w:hint="cs"/>
          <w:sz w:val="32"/>
          <w:szCs w:val="32"/>
          <w:rtl/>
          <w:lang w:bidi="ar-DZ"/>
        </w:rPr>
        <w:t xml:space="preserve">، </w:t>
      </w:r>
      <w:r w:rsidR="00CF4CFE" w:rsidRPr="0020549E">
        <w:rPr>
          <w:rFonts w:ascii="Traditional Arabic" w:hAnsi="Traditional Arabic" w:cs="Traditional Arabic" w:hint="cs"/>
          <w:sz w:val="24"/>
          <w:szCs w:val="24"/>
          <w:rtl/>
          <w:lang w:bidi="ar-DZ"/>
        </w:rPr>
        <w:t>2008</w:t>
      </w:r>
      <w:r w:rsidR="00CF4CFE" w:rsidRPr="0020549E">
        <w:rPr>
          <w:rFonts w:ascii="Traditional Arabic" w:hAnsi="Traditional Arabic" w:cs="Traditional Arabic" w:hint="cs"/>
          <w:sz w:val="32"/>
          <w:szCs w:val="32"/>
          <w:rtl/>
          <w:lang w:bidi="ar-DZ"/>
        </w:rPr>
        <w:t xml:space="preserve">، </w:t>
      </w:r>
      <w:r w:rsidR="00CF4CFE" w:rsidRPr="0020549E">
        <w:rPr>
          <w:rFonts w:ascii="Traditional Arabic" w:hAnsi="Traditional Arabic" w:cs="Traditional Arabic" w:hint="cs"/>
          <w:sz w:val="24"/>
          <w:szCs w:val="24"/>
          <w:rtl/>
          <w:lang w:bidi="ar-DZ"/>
        </w:rPr>
        <w:t>2009</w:t>
      </w:r>
      <w:r w:rsidR="00CF4CFE" w:rsidRPr="0020549E">
        <w:rPr>
          <w:rFonts w:ascii="Traditional Arabic" w:hAnsi="Traditional Arabic" w:cs="Traditional Arabic" w:hint="cs"/>
          <w:sz w:val="32"/>
          <w:szCs w:val="32"/>
          <w:rtl/>
          <w:lang w:bidi="ar-DZ"/>
        </w:rPr>
        <w:t xml:space="preserve"> على التوالي، وبصفة خاصة في اليابان والولايات المتحدة ا</w:t>
      </w:r>
      <w:r w:rsidR="001F024C">
        <w:rPr>
          <w:rFonts w:ascii="Traditional Arabic" w:hAnsi="Traditional Arabic" w:cs="Traditional Arabic" w:hint="cs"/>
          <w:sz w:val="32"/>
          <w:szCs w:val="32"/>
          <w:rtl/>
          <w:lang w:bidi="ar-DZ"/>
        </w:rPr>
        <w:t>لأمريكية وكندا وفي دول منطقة الأ</w:t>
      </w:r>
      <w:r w:rsidR="00CF4CFE" w:rsidRPr="0020549E">
        <w:rPr>
          <w:rFonts w:ascii="Traditional Arabic" w:hAnsi="Traditional Arabic" w:cs="Traditional Arabic" w:hint="cs"/>
          <w:sz w:val="32"/>
          <w:szCs w:val="32"/>
          <w:rtl/>
          <w:lang w:bidi="ar-DZ"/>
        </w:rPr>
        <w:t>ورو،</w:t>
      </w:r>
      <w:r w:rsidR="00CF4CFE" w:rsidRPr="0020549E">
        <w:rPr>
          <w:rFonts w:ascii="Traditional Arabic" w:hAnsi="Traditional Arabic" w:cs="Traditional Arabic"/>
          <w:sz w:val="32"/>
          <w:szCs w:val="32"/>
          <w:rtl/>
          <w:lang w:bidi="ar-DZ"/>
        </w:rPr>
        <w:t xml:space="preserve"> </w:t>
      </w:r>
      <w:r w:rsidR="00CF4CFE">
        <w:rPr>
          <w:rFonts w:ascii="Traditional Arabic" w:hAnsi="Traditional Arabic" w:cs="Traditional Arabic" w:hint="cs"/>
          <w:sz w:val="32"/>
          <w:szCs w:val="32"/>
          <w:rtl/>
          <w:lang w:bidi="ar-DZ"/>
        </w:rPr>
        <w:t>وتراجع</w:t>
      </w:r>
      <w:r w:rsidR="00CF4CFE" w:rsidRPr="0020549E">
        <w:rPr>
          <w:rFonts w:ascii="Traditional Arabic" w:hAnsi="Traditional Arabic" w:cs="Traditional Arabic" w:hint="cs"/>
          <w:sz w:val="32"/>
          <w:szCs w:val="32"/>
          <w:rtl/>
          <w:lang w:bidi="ar-DZ"/>
        </w:rPr>
        <w:t xml:space="preserve"> في </w:t>
      </w:r>
      <w:r w:rsidR="00CF4CFE" w:rsidRPr="0020549E">
        <w:rPr>
          <w:rFonts w:ascii="Traditional Arabic" w:hAnsi="Traditional Arabic" w:cs="Traditional Arabic"/>
          <w:sz w:val="32"/>
          <w:szCs w:val="32"/>
          <w:rtl/>
          <w:lang w:bidi="ar-DZ"/>
        </w:rPr>
        <w:t>اقتصاديات</w:t>
      </w:r>
      <w:r w:rsidR="00CF4CFE" w:rsidRPr="0020549E">
        <w:rPr>
          <w:rFonts w:ascii="Traditional Arabic" w:hAnsi="Traditional Arabic" w:cs="Traditional Arabic" w:hint="cs"/>
          <w:sz w:val="32"/>
          <w:szCs w:val="32"/>
          <w:rtl/>
          <w:lang w:bidi="ar-DZ"/>
        </w:rPr>
        <w:t xml:space="preserve"> الدول</w:t>
      </w:r>
      <w:r w:rsidR="00CF4CFE" w:rsidRPr="0020549E">
        <w:rPr>
          <w:rFonts w:ascii="Traditional Arabic" w:hAnsi="Traditional Arabic" w:cs="Traditional Arabic"/>
          <w:sz w:val="32"/>
          <w:szCs w:val="32"/>
          <w:rtl/>
          <w:lang w:bidi="ar-DZ"/>
        </w:rPr>
        <w:t xml:space="preserve"> </w:t>
      </w:r>
      <w:r w:rsidR="00CF4CFE" w:rsidRPr="0020549E">
        <w:rPr>
          <w:rFonts w:ascii="Traditional Arabic" w:hAnsi="Traditional Arabic" w:cs="Traditional Arabic" w:hint="cs"/>
          <w:sz w:val="32"/>
          <w:szCs w:val="32"/>
          <w:rtl/>
          <w:lang w:bidi="ar-DZ"/>
        </w:rPr>
        <w:t>ال</w:t>
      </w:r>
      <w:r w:rsidR="00CF4CFE" w:rsidRPr="0020549E">
        <w:rPr>
          <w:rFonts w:ascii="Traditional Arabic" w:hAnsi="Traditional Arabic" w:cs="Traditional Arabic"/>
          <w:sz w:val="32"/>
          <w:szCs w:val="32"/>
          <w:rtl/>
          <w:lang w:bidi="ar-DZ"/>
        </w:rPr>
        <w:t xml:space="preserve">متقدمة </w:t>
      </w:r>
      <w:r w:rsidR="00CF4CFE" w:rsidRPr="0020549E">
        <w:rPr>
          <w:rFonts w:ascii="Traditional Arabic" w:hAnsi="Traditional Arabic" w:cs="Traditional Arabic" w:hint="cs"/>
          <w:sz w:val="32"/>
          <w:szCs w:val="32"/>
          <w:rtl/>
          <w:lang w:bidi="ar-DZ"/>
        </w:rPr>
        <w:t>ال</w:t>
      </w:r>
      <w:r w:rsidR="00CF4CFE" w:rsidRPr="0020549E">
        <w:rPr>
          <w:rFonts w:ascii="Traditional Arabic" w:hAnsi="Traditional Arabic" w:cs="Traditional Arabic"/>
          <w:sz w:val="32"/>
          <w:szCs w:val="32"/>
          <w:rtl/>
          <w:lang w:bidi="ar-DZ"/>
        </w:rPr>
        <w:t>أخرى</w:t>
      </w:r>
      <w:r w:rsidR="00CF4CFE" w:rsidRPr="0020549E">
        <w:rPr>
          <w:rFonts w:ascii="Traditional Arabic" w:hAnsi="Traditional Arabic" w:cs="Traditional Arabic" w:hint="cs"/>
          <w:sz w:val="32"/>
          <w:szCs w:val="32"/>
          <w:rtl/>
          <w:lang w:bidi="ar-DZ"/>
        </w:rPr>
        <w:t xml:space="preserve"> من </w:t>
      </w:r>
      <w:r w:rsidR="00CF4CFE" w:rsidRPr="0020549E">
        <w:rPr>
          <w:rFonts w:ascii="Traditional Arabic" w:hAnsi="Traditional Arabic" w:cs="Traditional Arabic" w:hint="cs"/>
          <w:sz w:val="24"/>
          <w:szCs w:val="24"/>
          <w:rtl/>
          <w:lang w:bidi="ar-DZ"/>
        </w:rPr>
        <w:t>3.8</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 xml:space="preserve">إلى </w:t>
      </w:r>
      <w:r w:rsidR="00CF4CFE" w:rsidRPr="0020549E">
        <w:rPr>
          <w:rFonts w:ascii="Traditional Arabic" w:hAnsi="Traditional Arabic" w:cs="Traditional Arabic" w:hint="cs"/>
          <w:sz w:val="24"/>
          <w:szCs w:val="24"/>
          <w:rtl/>
          <w:lang w:bidi="ar-DZ"/>
        </w:rPr>
        <w:t>1.7</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 xml:space="preserve">ثم </w:t>
      </w:r>
      <w:r w:rsidR="00CF4CFE" w:rsidRPr="0020549E">
        <w:rPr>
          <w:rFonts w:ascii="Traditional Arabic" w:hAnsi="Traditional Arabic" w:cs="Traditional Arabic" w:hint="cs"/>
          <w:sz w:val="24"/>
          <w:szCs w:val="24"/>
          <w:rtl/>
          <w:lang w:bidi="ar-DZ"/>
        </w:rPr>
        <w:t>1.3-</w:t>
      </w:r>
      <w:r w:rsidR="00CF4CFE" w:rsidRPr="0020549E">
        <w:rPr>
          <w:rFonts w:ascii="Traditional Arabic" w:hAnsi="Traditional Arabic" w:cs="Traditional Arabic"/>
          <w:sz w:val="24"/>
          <w:szCs w:val="24"/>
          <w:rtl/>
          <w:lang w:bidi="ar-DZ"/>
        </w:rPr>
        <w:t>%</w:t>
      </w:r>
      <w:r w:rsidR="00CF4CFE" w:rsidRPr="0020549E">
        <w:rPr>
          <w:rFonts w:ascii="Traditional Arabic" w:hAnsi="Traditional Arabic" w:cs="Traditional Arabic" w:hint="cs"/>
          <w:sz w:val="24"/>
          <w:szCs w:val="24"/>
          <w:rtl/>
          <w:lang w:bidi="ar-DZ"/>
        </w:rPr>
        <w:t xml:space="preserve"> </w:t>
      </w:r>
      <w:r w:rsidR="00CF4CFE" w:rsidRPr="0020549E">
        <w:rPr>
          <w:rFonts w:ascii="Traditional Arabic" w:hAnsi="Traditional Arabic" w:cs="Traditional Arabic" w:hint="cs"/>
          <w:sz w:val="32"/>
          <w:szCs w:val="32"/>
          <w:rtl/>
          <w:lang w:bidi="ar-DZ"/>
        </w:rPr>
        <w:t xml:space="preserve">خلال سنوات </w:t>
      </w:r>
      <w:r w:rsidR="00CF4CFE" w:rsidRPr="0020549E">
        <w:rPr>
          <w:rFonts w:ascii="Traditional Arabic" w:hAnsi="Traditional Arabic" w:cs="Traditional Arabic" w:hint="cs"/>
          <w:sz w:val="24"/>
          <w:szCs w:val="24"/>
          <w:rtl/>
          <w:lang w:bidi="ar-DZ"/>
        </w:rPr>
        <w:t>2007</w:t>
      </w:r>
      <w:r w:rsidR="00CF4CFE" w:rsidRPr="0020549E">
        <w:rPr>
          <w:rFonts w:ascii="Traditional Arabic" w:hAnsi="Traditional Arabic" w:cs="Traditional Arabic" w:hint="cs"/>
          <w:sz w:val="32"/>
          <w:szCs w:val="32"/>
          <w:rtl/>
          <w:lang w:bidi="ar-DZ"/>
        </w:rPr>
        <w:t xml:space="preserve">، </w:t>
      </w:r>
      <w:r w:rsidR="00CF4CFE" w:rsidRPr="0020549E">
        <w:rPr>
          <w:rFonts w:ascii="Traditional Arabic" w:hAnsi="Traditional Arabic" w:cs="Traditional Arabic" w:hint="cs"/>
          <w:sz w:val="24"/>
          <w:szCs w:val="24"/>
          <w:rtl/>
          <w:lang w:bidi="ar-DZ"/>
        </w:rPr>
        <w:t>2008</w:t>
      </w:r>
      <w:r w:rsidR="00CF4CFE" w:rsidRPr="0020549E">
        <w:rPr>
          <w:rFonts w:ascii="Traditional Arabic" w:hAnsi="Traditional Arabic" w:cs="Traditional Arabic" w:hint="cs"/>
          <w:sz w:val="32"/>
          <w:szCs w:val="32"/>
          <w:rtl/>
          <w:lang w:bidi="ar-DZ"/>
        </w:rPr>
        <w:t xml:space="preserve">، </w:t>
      </w:r>
      <w:r w:rsidR="00CF4CFE" w:rsidRPr="0020549E">
        <w:rPr>
          <w:rFonts w:ascii="Traditional Arabic" w:hAnsi="Traditional Arabic" w:cs="Traditional Arabic" w:hint="cs"/>
          <w:sz w:val="24"/>
          <w:szCs w:val="24"/>
          <w:rtl/>
          <w:lang w:bidi="ar-DZ"/>
        </w:rPr>
        <w:t xml:space="preserve">2009 </w:t>
      </w:r>
      <w:r w:rsidR="00CF4CFE" w:rsidRPr="0020549E">
        <w:rPr>
          <w:rFonts w:ascii="Traditional Arabic" w:hAnsi="Traditional Arabic" w:cs="Traditional Arabic" w:hint="cs"/>
          <w:sz w:val="32"/>
          <w:szCs w:val="32"/>
          <w:rtl/>
          <w:lang w:bidi="ar-DZ"/>
        </w:rPr>
        <w:t xml:space="preserve">على التوالي.  </w:t>
      </w:r>
      <w:r w:rsidR="00CF4CFE">
        <w:rPr>
          <w:rFonts w:ascii="Traditional Arabic" w:hAnsi="Traditional Arabic" w:cs="Traditional Arabic" w:hint="cs"/>
          <w:sz w:val="32"/>
          <w:szCs w:val="32"/>
          <w:rtl/>
          <w:lang w:bidi="ar-DZ"/>
        </w:rPr>
        <w:t xml:space="preserve">    </w:t>
      </w:r>
    </w:p>
    <w:p w:rsidR="00CF4CFE" w:rsidRPr="002933E3" w:rsidRDefault="00CF4CFE" w:rsidP="0067613E">
      <w:pPr>
        <w:tabs>
          <w:tab w:val="right" w:pos="567"/>
        </w:tabs>
        <w:bidi/>
        <w:spacing w:after="0"/>
        <w:jc w:val="center"/>
        <w:rPr>
          <w:rFonts w:ascii="Traditional Arabic" w:hAnsi="Traditional Arabic" w:cs="Traditional Arabic"/>
          <w:sz w:val="32"/>
          <w:szCs w:val="32"/>
          <w:rtl/>
          <w:lang w:bidi="ar-DZ"/>
        </w:rPr>
      </w:pPr>
      <w:r w:rsidRPr="002933E3">
        <w:rPr>
          <w:rFonts w:ascii="Traditional Arabic" w:hAnsi="Traditional Arabic" w:cs="Traditional Arabic" w:hint="cs"/>
          <w:sz w:val="32"/>
          <w:szCs w:val="32"/>
          <w:rtl/>
          <w:lang w:bidi="ar-DZ"/>
        </w:rPr>
        <w:t xml:space="preserve">الجدول رقم </w:t>
      </w:r>
      <w:r w:rsidR="00153AC2" w:rsidRPr="00153AC2">
        <w:rPr>
          <w:rFonts w:ascii="Traditional Arabic" w:hAnsi="Traditional Arabic" w:cs="Traditional Arabic" w:hint="cs"/>
          <w:sz w:val="24"/>
          <w:szCs w:val="24"/>
          <w:rtl/>
          <w:lang w:bidi="ar-DZ"/>
        </w:rPr>
        <w:t>12</w:t>
      </w:r>
      <w:r w:rsidR="00153AC2">
        <w:rPr>
          <w:rFonts w:ascii="Traditional Arabic" w:hAnsi="Traditional Arabic" w:cs="Traditional Arabic" w:hint="cs"/>
          <w:sz w:val="32"/>
          <w:szCs w:val="32"/>
          <w:rtl/>
          <w:lang w:bidi="ar-DZ"/>
        </w:rPr>
        <w:t>:</w:t>
      </w:r>
      <w:r w:rsidRPr="002933E3">
        <w:rPr>
          <w:rFonts w:ascii="Traditional Arabic" w:hAnsi="Traditional Arabic" w:cs="Traditional Arabic" w:hint="cs"/>
          <w:sz w:val="32"/>
          <w:szCs w:val="32"/>
          <w:rtl/>
          <w:lang w:bidi="ar-DZ"/>
        </w:rPr>
        <w:t xml:space="preserve"> معدل نمو</w:t>
      </w:r>
      <w:r w:rsidRPr="002933E3">
        <w:rPr>
          <w:rFonts w:ascii="Traditional Arabic" w:hAnsi="Traditional Arabic" w:cs="Traditional Arabic"/>
          <w:sz w:val="32"/>
          <w:szCs w:val="32"/>
          <w:rtl/>
          <w:lang w:bidi="ar-DZ"/>
        </w:rPr>
        <w:t xml:space="preserve"> إجمالي الناتج المحلي الحقيقي</w:t>
      </w:r>
      <w:r w:rsidR="002933E3">
        <w:rPr>
          <w:rFonts w:ascii="Traditional Arabic" w:hAnsi="Traditional Arabic" w:cs="Traditional Arabic" w:hint="cs"/>
          <w:sz w:val="32"/>
          <w:szCs w:val="32"/>
          <w:rtl/>
          <w:lang w:bidi="ar-DZ"/>
        </w:rPr>
        <w:t xml:space="preserve"> في الاقتصاديات المتقدمة</w:t>
      </w:r>
      <w:r w:rsidR="005D6EEF">
        <w:rPr>
          <w:rFonts w:ascii="Traditional Arabic" w:hAnsi="Traditional Arabic" w:cs="Traditional Arabic" w:hint="cs"/>
          <w:sz w:val="32"/>
          <w:szCs w:val="32"/>
          <w:rtl/>
          <w:lang w:bidi="ar-DZ"/>
        </w:rPr>
        <w:t xml:space="preserve"> خلال الفترة </w:t>
      </w:r>
      <w:r w:rsidR="005D6EEF" w:rsidRPr="005D6EEF">
        <w:rPr>
          <w:rFonts w:ascii="Traditional Arabic" w:hAnsi="Traditional Arabic" w:cs="Traditional Arabic" w:hint="cs"/>
          <w:sz w:val="24"/>
          <w:szCs w:val="24"/>
          <w:rtl/>
          <w:lang w:bidi="ar-DZ"/>
        </w:rPr>
        <w:t>2007-2009</w:t>
      </w:r>
    </w:p>
    <w:tbl>
      <w:tblPr>
        <w:tblStyle w:val="Grilledutableau"/>
        <w:bidiVisual/>
        <w:tblW w:w="0" w:type="auto"/>
        <w:jc w:val="center"/>
        <w:tblInd w:w="108" w:type="dxa"/>
        <w:tblLook w:val="04A0"/>
      </w:tblPr>
      <w:tblGrid>
        <w:gridCol w:w="3368"/>
        <w:gridCol w:w="1814"/>
        <w:gridCol w:w="1814"/>
        <w:gridCol w:w="1814"/>
      </w:tblGrid>
      <w:tr w:rsidR="00CF4CFE" w:rsidRPr="00A327FA" w:rsidTr="0067613E">
        <w:trPr>
          <w:trHeight w:val="380"/>
          <w:jc w:val="center"/>
        </w:trPr>
        <w:tc>
          <w:tcPr>
            <w:tcW w:w="3368" w:type="dxa"/>
            <w:vMerge w:val="restart"/>
            <w:vAlign w:val="center"/>
          </w:tcPr>
          <w:p w:rsidR="00CF4CFE" w:rsidRPr="00A327FA" w:rsidRDefault="00CF4CFE" w:rsidP="0041055F">
            <w:pPr>
              <w:bidi/>
              <w:jc w:val="center"/>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الدول ومجموعات الدول</w:t>
            </w:r>
          </w:p>
        </w:tc>
        <w:tc>
          <w:tcPr>
            <w:tcW w:w="5441" w:type="dxa"/>
            <w:gridSpan w:val="3"/>
          </w:tcPr>
          <w:p w:rsidR="00CF4CFE" w:rsidRPr="00A327FA" w:rsidRDefault="00CF4CFE" w:rsidP="0041055F">
            <w:pPr>
              <w:bidi/>
              <w:jc w:val="center"/>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معدلات النمو</w:t>
            </w:r>
          </w:p>
        </w:tc>
      </w:tr>
      <w:tr w:rsidR="00CF4CFE" w:rsidRPr="00942E52" w:rsidTr="0067613E">
        <w:trPr>
          <w:trHeight w:val="380"/>
          <w:jc w:val="center"/>
        </w:trPr>
        <w:tc>
          <w:tcPr>
            <w:tcW w:w="3368" w:type="dxa"/>
            <w:vMerge/>
          </w:tcPr>
          <w:p w:rsidR="00CF4CFE" w:rsidRPr="00A327FA" w:rsidRDefault="00CF4CFE" w:rsidP="0041055F">
            <w:pPr>
              <w:bidi/>
              <w:rPr>
                <w:rFonts w:ascii="Traditional Arabic" w:hAnsi="Traditional Arabic" w:cs="Traditional Arabic"/>
                <w:sz w:val="28"/>
                <w:szCs w:val="28"/>
                <w:rtl/>
                <w:lang w:bidi="ar-DZ"/>
              </w:rPr>
            </w:pPr>
          </w:p>
        </w:tc>
        <w:tc>
          <w:tcPr>
            <w:tcW w:w="1814"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2007</w:t>
            </w:r>
          </w:p>
        </w:tc>
        <w:tc>
          <w:tcPr>
            <w:tcW w:w="1814"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2008</w:t>
            </w:r>
          </w:p>
        </w:tc>
        <w:tc>
          <w:tcPr>
            <w:tcW w:w="1814"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2009</w:t>
            </w:r>
          </w:p>
        </w:tc>
      </w:tr>
      <w:tr w:rsidR="00CF4CFE" w:rsidRPr="00942E52" w:rsidTr="0067613E">
        <w:trPr>
          <w:trHeight w:val="370"/>
          <w:jc w:val="center"/>
        </w:trPr>
        <w:tc>
          <w:tcPr>
            <w:tcW w:w="3368" w:type="dxa"/>
          </w:tcPr>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متوسط معدل النمو العالمي</w:t>
            </w:r>
          </w:p>
        </w:tc>
        <w:tc>
          <w:tcPr>
            <w:tcW w:w="1814"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5.2</w:t>
            </w:r>
          </w:p>
        </w:tc>
        <w:tc>
          <w:tcPr>
            <w:tcW w:w="1814"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3.0</w:t>
            </w:r>
          </w:p>
        </w:tc>
        <w:tc>
          <w:tcPr>
            <w:tcW w:w="1814"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-0.8</w:t>
            </w:r>
          </w:p>
        </w:tc>
      </w:tr>
      <w:tr w:rsidR="00CF4CFE" w:rsidRPr="00942E52" w:rsidTr="0067613E">
        <w:trPr>
          <w:trHeight w:val="4148"/>
          <w:jc w:val="center"/>
        </w:trPr>
        <w:tc>
          <w:tcPr>
            <w:tcW w:w="3368" w:type="dxa"/>
          </w:tcPr>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الاقتصاديات المتقدمة</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الولايات المتحدة الأمريكية</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001F024C">
              <w:rPr>
                <w:rFonts w:ascii="Traditional Arabic" w:hAnsi="Traditional Arabic" w:cs="Traditional Arabic"/>
                <w:sz w:val="28"/>
                <w:szCs w:val="28"/>
                <w:rtl/>
                <w:lang w:bidi="ar-DZ"/>
              </w:rPr>
              <w:t>منطقة ال</w:t>
            </w:r>
            <w:r w:rsidR="001F024C">
              <w:rPr>
                <w:rFonts w:ascii="Traditional Arabic" w:hAnsi="Traditional Arabic" w:cs="Traditional Arabic" w:hint="cs"/>
                <w:sz w:val="28"/>
                <w:szCs w:val="28"/>
                <w:rtl/>
                <w:lang w:bidi="ar-DZ"/>
              </w:rPr>
              <w:t>أ</w:t>
            </w:r>
            <w:r w:rsidRPr="00A327FA">
              <w:rPr>
                <w:rFonts w:ascii="Traditional Arabic" w:hAnsi="Traditional Arabic" w:cs="Traditional Arabic"/>
                <w:sz w:val="28"/>
                <w:szCs w:val="28"/>
                <w:rtl/>
                <w:lang w:bidi="ar-DZ"/>
              </w:rPr>
              <w:t>ورو</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ألمانيا</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فرنسا</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إيطاليا</w:t>
            </w:r>
          </w:p>
          <w:p w:rsidR="00CF4CFE" w:rsidRPr="00A327FA" w:rsidRDefault="00CF4CFE" w:rsidP="0041055F">
            <w:pPr>
              <w:tabs>
                <w:tab w:val="right" w:pos="236"/>
                <w:tab w:val="right" w:pos="387"/>
              </w:tabs>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 xml:space="preserve"> اسبانيا</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اليابان</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المملكة المتحدة</w:t>
            </w:r>
          </w:p>
          <w:p w:rsidR="00CF4CFE" w:rsidRPr="00A327FA" w:rsidRDefault="00CF4CFE" w:rsidP="0041055F">
            <w:pPr>
              <w:tabs>
                <w:tab w:val="right" w:pos="299"/>
              </w:tabs>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 xml:space="preserve">كندا </w:t>
            </w:r>
            <w:r>
              <w:rPr>
                <w:rFonts w:ascii="Traditional Arabic" w:hAnsi="Traditional Arabic" w:cs="Traditional Arabic" w:hint="cs"/>
                <w:sz w:val="28"/>
                <w:szCs w:val="28"/>
                <w:rtl/>
                <w:lang w:bidi="ar-DZ"/>
              </w:rPr>
              <w:t xml:space="preserve"> </w:t>
            </w:r>
          </w:p>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اقتصاديات متقدمة أخرى</w:t>
            </w:r>
          </w:p>
        </w:tc>
        <w:tc>
          <w:tcPr>
            <w:tcW w:w="1814" w:type="dxa"/>
            <w:vAlign w:val="center"/>
          </w:tcPr>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2.7</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2.1</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2.7</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3.8</w:t>
            </w:r>
          </w:p>
        </w:tc>
        <w:tc>
          <w:tcPr>
            <w:tcW w:w="1814" w:type="dxa"/>
            <w:vAlign w:val="center"/>
          </w:tcPr>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0.4</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1.2</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-1.0</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0.9</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-1.2</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0.4</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1814" w:type="dxa"/>
            <w:vAlign w:val="center"/>
          </w:tcPr>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-3.2</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-3.9</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-4.8</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-4.8</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-4.8</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w:t>
            </w:r>
          </w:p>
        </w:tc>
      </w:tr>
    </w:tbl>
    <w:p w:rsidR="00434342" w:rsidRDefault="00CF4CFE" w:rsidP="00CF4CFE">
      <w:pPr>
        <w:bidi/>
        <w:spacing w:after="0" w:line="240" w:lineRule="auto"/>
        <w:jc w:val="both"/>
        <w:rPr>
          <w:rFonts w:ascii="Traditional Arabic" w:hAnsi="Traditional Arabic" w:cs="Traditional Arabic"/>
          <w:sz w:val="28"/>
          <w:szCs w:val="28"/>
          <w:rtl/>
        </w:rPr>
      </w:pPr>
      <w:r>
        <w:rPr>
          <w:rFonts w:ascii="Traditional Arabic" w:hAnsi="Traditional Arabic" w:cs="Traditional Arabic" w:hint="cs"/>
          <w:sz w:val="28"/>
          <w:szCs w:val="28"/>
          <w:rtl/>
        </w:rPr>
        <w:t>ا</w:t>
      </w:r>
      <w:r w:rsidRPr="00AF1F34">
        <w:rPr>
          <w:rFonts w:ascii="Traditional Arabic" w:hAnsi="Traditional Arabic" w:cs="Traditional Arabic"/>
          <w:sz w:val="28"/>
          <w:szCs w:val="28"/>
          <w:rtl/>
        </w:rPr>
        <w:t>لمصدر: صندوق النقد</w:t>
      </w:r>
      <w:r>
        <w:rPr>
          <w:rFonts w:ascii="Traditional Arabic" w:hAnsi="Traditional Arabic" w:cs="Traditional Arabic"/>
          <w:sz w:val="28"/>
          <w:szCs w:val="28"/>
          <w:rtl/>
        </w:rPr>
        <w:t xml:space="preserve"> الدولي:</w:t>
      </w:r>
      <w:r>
        <w:rPr>
          <w:rFonts w:ascii="Traditional Arabic" w:hAnsi="Traditional Arabic" w:cs="Traditional Arabic" w:hint="cs"/>
          <w:sz w:val="28"/>
          <w:szCs w:val="28"/>
          <w:rtl/>
        </w:rPr>
        <w:t xml:space="preserve"> </w:t>
      </w:r>
      <w:r w:rsidRPr="00AF1F34">
        <w:rPr>
          <w:rFonts w:ascii="Traditional Arabic" w:hAnsi="Traditional Arabic" w:cs="Traditional Arabic"/>
          <w:sz w:val="28"/>
          <w:szCs w:val="28"/>
          <w:rtl/>
        </w:rPr>
        <w:t>تعاف بسرعات متباينة تدفعه قاطرة السياسات،</w:t>
      </w:r>
      <w:r w:rsidRPr="00154D2C">
        <w:rPr>
          <w:rFonts w:ascii="Traditional Arabic" w:hAnsi="Traditional Arabic" w:cs="Traditional Arabic"/>
          <w:sz w:val="28"/>
          <w:szCs w:val="28"/>
          <w:rtl/>
        </w:rPr>
        <w:t xml:space="preserve"> </w:t>
      </w:r>
      <w:r w:rsidRPr="00AF1F34">
        <w:rPr>
          <w:rFonts w:ascii="Traditional Arabic" w:hAnsi="Traditional Arabic" w:cs="Traditional Arabic"/>
          <w:sz w:val="28"/>
          <w:szCs w:val="28"/>
          <w:rtl/>
        </w:rPr>
        <w:t xml:space="preserve">مستجدات آفاق الاقتصادي العالمي، جانفي </w:t>
      </w:r>
    </w:p>
    <w:p w:rsidR="00CF4CFE" w:rsidRDefault="00434342" w:rsidP="00434342">
      <w:pPr>
        <w:tabs>
          <w:tab w:val="right" w:pos="567"/>
        </w:tabs>
        <w:bidi/>
        <w:spacing w:after="0" w:line="240" w:lineRule="auto"/>
        <w:jc w:val="both"/>
        <w:rPr>
          <w:rFonts w:ascii="Traditional Arabic" w:hAnsi="Traditional Arabic" w:cs="Traditional Arabic"/>
          <w:sz w:val="28"/>
          <w:szCs w:val="28"/>
          <w:rtl/>
        </w:rPr>
      </w:pPr>
      <w:r>
        <w:rPr>
          <w:rFonts w:ascii="Traditional Arabic" w:hAnsi="Traditional Arabic" w:cs="Traditional Arabic" w:hint="cs"/>
          <w:sz w:val="24"/>
          <w:szCs w:val="24"/>
          <w:rtl/>
        </w:rPr>
        <w:t xml:space="preserve">           </w:t>
      </w:r>
      <w:r w:rsidR="00CF4CFE" w:rsidRPr="00990223">
        <w:rPr>
          <w:rFonts w:ascii="Traditional Arabic" w:hAnsi="Traditional Arabic" w:cs="Traditional Arabic"/>
          <w:sz w:val="24"/>
          <w:szCs w:val="24"/>
          <w:rtl/>
        </w:rPr>
        <w:t>2010</w:t>
      </w:r>
      <w:r w:rsidR="00990223">
        <w:rPr>
          <w:rFonts w:ascii="Traditional Arabic" w:hAnsi="Traditional Arabic" w:cs="Traditional Arabic"/>
          <w:sz w:val="28"/>
          <w:szCs w:val="28"/>
          <w:rtl/>
        </w:rPr>
        <w:t>،</w:t>
      </w:r>
      <w:r w:rsidR="00CF4CFE" w:rsidRPr="00AF1F34">
        <w:rPr>
          <w:rFonts w:ascii="Traditional Arabic" w:hAnsi="Traditional Arabic" w:cs="Traditional Arabic"/>
          <w:sz w:val="28"/>
          <w:szCs w:val="28"/>
          <w:rtl/>
        </w:rPr>
        <w:t xml:space="preserve"> </w:t>
      </w:r>
      <w:r w:rsidR="00CF4CFE">
        <w:rPr>
          <w:rFonts w:ascii="Traditional Arabic" w:hAnsi="Traditional Arabic" w:cs="Traditional Arabic" w:hint="cs"/>
          <w:sz w:val="28"/>
          <w:szCs w:val="28"/>
          <w:rtl/>
        </w:rPr>
        <w:t xml:space="preserve">ص ص </w:t>
      </w:r>
      <w:r w:rsidR="00CF4CFE" w:rsidRPr="00990223">
        <w:rPr>
          <w:rFonts w:ascii="Traditional Arabic" w:hAnsi="Traditional Arabic" w:cs="Traditional Arabic" w:hint="cs"/>
          <w:sz w:val="24"/>
          <w:szCs w:val="24"/>
          <w:rtl/>
        </w:rPr>
        <w:t>2-3</w:t>
      </w:r>
      <w:r w:rsidR="00CF4CFE">
        <w:rPr>
          <w:rFonts w:ascii="Traditional Arabic" w:hAnsi="Traditional Arabic" w:cs="Traditional Arabic" w:hint="cs"/>
          <w:sz w:val="28"/>
          <w:szCs w:val="28"/>
          <w:rtl/>
        </w:rPr>
        <w:t xml:space="preserve">. </w:t>
      </w:r>
      <w:r w:rsidR="00990223">
        <w:rPr>
          <w:rFonts w:ascii="Traditional Arabic" w:hAnsi="Traditional Arabic" w:cs="Traditional Arabic"/>
          <w:sz w:val="28"/>
          <w:szCs w:val="28"/>
        </w:rPr>
        <w:t xml:space="preserve">  </w:t>
      </w:r>
    </w:p>
    <w:p w:rsidR="00CF4CFE" w:rsidRDefault="00CF4CFE" w:rsidP="008C1FA3">
      <w:pPr>
        <w:tabs>
          <w:tab w:val="right" w:pos="708"/>
        </w:tabs>
        <w:bidi/>
        <w:spacing w:line="240" w:lineRule="auto"/>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008C1FA3">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صندوق النقد الدولي: الحفاظ على التعافي، آفاق الاقتصاد العالمي، أكتوبر </w:t>
      </w:r>
      <w:r w:rsidRPr="00990223">
        <w:rPr>
          <w:rFonts w:ascii="Traditional Arabic" w:hAnsi="Traditional Arabic" w:cs="Traditional Arabic" w:hint="cs"/>
          <w:sz w:val="24"/>
          <w:szCs w:val="24"/>
          <w:rtl/>
        </w:rPr>
        <w:t>2009</w:t>
      </w:r>
      <w:r>
        <w:rPr>
          <w:rFonts w:ascii="Traditional Arabic" w:hAnsi="Traditional Arabic" w:cs="Traditional Arabic" w:hint="cs"/>
          <w:sz w:val="28"/>
          <w:szCs w:val="28"/>
          <w:rtl/>
        </w:rPr>
        <w:t xml:space="preserve">، ص ص </w:t>
      </w:r>
      <w:r w:rsidRPr="00990223">
        <w:rPr>
          <w:rFonts w:ascii="Traditional Arabic" w:hAnsi="Traditional Arabic" w:cs="Traditional Arabic" w:hint="cs"/>
          <w:sz w:val="24"/>
          <w:szCs w:val="24"/>
          <w:rtl/>
        </w:rPr>
        <w:t>169-170</w:t>
      </w:r>
      <w:r>
        <w:rPr>
          <w:rFonts w:ascii="Traditional Arabic" w:hAnsi="Traditional Arabic" w:cs="Traditional Arabic" w:hint="cs"/>
          <w:sz w:val="28"/>
          <w:szCs w:val="28"/>
          <w:rtl/>
        </w:rPr>
        <w:t xml:space="preserve">.  </w:t>
      </w:r>
    </w:p>
    <w:p w:rsidR="00CF4CFE" w:rsidRPr="000E00AB" w:rsidRDefault="00A1266A" w:rsidP="00A1266A">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CF4CFE">
        <w:rPr>
          <w:rFonts w:ascii="Traditional Arabic" w:hAnsi="Traditional Arabic" w:cs="Traditional Arabic"/>
          <w:sz w:val="32"/>
          <w:szCs w:val="32"/>
          <w:rtl/>
          <w:lang w:bidi="ar-DZ"/>
        </w:rPr>
        <w:t xml:space="preserve">  وخلال </w:t>
      </w:r>
      <w:r w:rsidR="00CF4CFE" w:rsidRPr="004633E7">
        <w:rPr>
          <w:rFonts w:ascii="Traditional Arabic" w:hAnsi="Traditional Arabic" w:cs="Traditional Arabic"/>
          <w:sz w:val="32"/>
          <w:szCs w:val="32"/>
          <w:rtl/>
          <w:lang w:bidi="ar-DZ"/>
        </w:rPr>
        <w:t>سنة</w:t>
      </w:r>
      <w:r w:rsidR="00CF4CFE">
        <w:rPr>
          <w:rFonts w:ascii="Traditional Arabic" w:hAnsi="Traditional Arabic" w:cs="Traditional Arabic" w:hint="cs"/>
          <w:sz w:val="32"/>
          <w:szCs w:val="32"/>
          <w:rtl/>
          <w:lang w:bidi="ar-DZ"/>
        </w:rPr>
        <w:t xml:space="preserve"> </w:t>
      </w:r>
      <w:r w:rsidR="00CF4CFE" w:rsidRPr="00BA18C2">
        <w:rPr>
          <w:rFonts w:ascii="Traditional Arabic" w:hAnsi="Traditional Arabic" w:cs="Traditional Arabic" w:hint="cs"/>
          <w:sz w:val="24"/>
          <w:szCs w:val="24"/>
          <w:rtl/>
          <w:lang w:bidi="ar-DZ"/>
        </w:rPr>
        <w:t>2009</w:t>
      </w:r>
      <w:r w:rsidR="00CF4CFE" w:rsidRPr="00BA18C2">
        <w:rPr>
          <w:rFonts w:ascii="Traditional Arabic" w:hAnsi="Traditional Arabic" w:cs="Traditional Arabic"/>
          <w:sz w:val="24"/>
          <w:szCs w:val="24"/>
          <w:rtl/>
          <w:lang w:bidi="ar-DZ"/>
        </w:rPr>
        <w:t xml:space="preserve"> </w:t>
      </w:r>
      <w:r w:rsidR="00CF4CFE" w:rsidRPr="004633E7">
        <w:rPr>
          <w:rFonts w:ascii="Traditional Arabic" w:hAnsi="Traditional Arabic" w:cs="Traditional Arabic"/>
          <w:sz w:val="32"/>
          <w:szCs w:val="32"/>
          <w:rtl/>
          <w:lang w:bidi="ar-DZ"/>
        </w:rPr>
        <w:t>كانت ردود الفعل على مستوى السياسات سريعة وشاملة ولكنها لم تنجح في القضاء على دوامة الهبو</w:t>
      </w:r>
      <w:r w:rsidR="00CF4CFE">
        <w:rPr>
          <w:rFonts w:ascii="Traditional Arabic" w:hAnsi="Traditional Arabic" w:cs="Traditional Arabic"/>
          <w:sz w:val="32"/>
          <w:szCs w:val="32"/>
          <w:rtl/>
          <w:lang w:bidi="ar-DZ"/>
        </w:rPr>
        <w:t>ط الاقتصادي</w:t>
      </w:r>
      <w:r w:rsidR="00CF4CFE">
        <w:rPr>
          <w:rFonts w:ascii="Traditional Arabic" w:hAnsi="Traditional Arabic" w:cs="Traditional Arabic" w:hint="cs"/>
          <w:sz w:val="32"/>
          <w:szCs w:val="32"/>
          <w:rtl/>
          <w:lang w:bidi="ar-DZ"/>
        </w:rPr>
        <w:t>،</w:t>
      </w:r>
      <w:r w:rsidR="00CF4CFE" w:rsidRPr="004633E7">
        <w:rPr>
          <w:rFonts w:ascii="Traditional Arabic" w:hAnsi="Traditional Arabic" w:cs="Traditional Arabic"/>
          <w:sz w:val="32"/>
          <w:szCs w:val="32"/>
          <w:rtl/>
          <w:lang w:bidi="ar-DZ"/>
        </w:rPr>
        <w:t xml:space="preserve"> واتبعت السلطات استراتيجيات متعددة الجوانب </w:t>
      </w:r>
      <w:r w:rsidR="00DF6AEA">
        <w:rPr>
          <w:rFonts w:ascii="Traditional Arabic" w:hAnsi="Traditional Arabic" w:cs="Traditional Arabic" w:hint="cs"/>
          <w:sz w:val="32"/>
          <w:szCs w:val="32"/>
          <w:rtl/>
          <w:lang w:bidi="ar-DZ"/>
        </w:rPr>
        <w:t xml:space="preserve">( </w:t>
      </w:r>
      <w:r w:rsidR="00DF6AEA" w:rsidRPr="002C3123">
        <w:rPr>
          <w:rFonts w:ascii="Traditional Arabic" w:hAnsi="Traditional Arabic" w:cs="Traditional Arabic"/>
          <w:sz w:val="32"/>
          <w:szCs w:val="32"/>
          <w:rtl/>
        </w:rPr>
        <w:t>مخطط بولسن</w:t>
      </w:r>
      <w:r w:rsidR="00DF6AEA">
        <w:rPr>
          <w:rFonts w:ascii="Traditional Arabic" w:hAnsi="Traditional Arabic" w:cs="Traditional Arabic" w:hint="cs"/>
          <w:sz w:val="32"/>
          <w:szCs w:val="32"/>
          <w:rtl/>
        </w:rPr>
        <w:t>،</w:t>
      </w:r>
      <w:r w:rsidR="00DF6AEA" w:rsidRPr="002C3123">
        <w:rPr>
          <w:rFonts w:ascii="Traditional Arabic" w:hAnsi="Traditional Arabic" w:cs="Traditional Arabic"/>
          <w:sz w:val="32"/>
          <w:szCs w:val="32"/>
          <w:rtl/>
        </w:rPr>
        <w:t xml:space="preserve"> مخطط الإتحاد الأوروبي والمخطط الإنجليزي</w:t>
      </w:r>
      <w:r w:rsidR="00DF6AEA">
        <w:rPr>
          <w:rFonts w:ascii="Traditional Arabic" w:hAnsi="Traditional Arabic" w:cs="Traditional Arabic" w:hint="cs"/>
          <w:sz w:val="32"/>
          <w:szCs w:val="32"/>
          <w:rtl/>
        </w:rPr>
        <w:t>)</w:t>
      </w:r>
      <w:r w:rsidR="00B41665">
        <w:rPr>
          <w:rFonts w:ascii="Traditional Arabic" w:hAnsi="Traditional Arabic" w:cs="Traditional Arabic" w:hint="cs"/>
          <w:sz w:val="32"/>
          <w:szCs w:val="32"/>
          <w:rtl/>
        </w:rPr>
        <w:t>،</w:t>
      </w:r>
      <w:r w:rsidR="00DF6AEA" w:rsidRPr="004633E7">
        <w:rPr>
          <w:rFonts w:ascii="Traditional Arabic" w:hAnsi="Traditional Arabic" w:cs="Traditional Arabic"/>
          <w:sz w:val="32"/>
          <w:szCs w:val="32"/>
          <w:rtl/>
          <w:lang w:bidi="ar-DZ"/>
        </w:rPr>
        <w:t xml:space="preserve"> </w:t>
      </w:r>
      <w:r w:rsidR="00CF4CFE" w:rsidRPr="004633E7">
        <w:rPr>
          <w:rFonts w:ascii="Traditional Arabic" w:hAnsi="Traditional Arabic" w:cs="Traditional Arabic"/>
          <w:sz w:val="32"/>
          <w:szCs w:val="32"/>
          <w:rtl/>
          <w:lang w:bidi="ar-DZ"/>
        </w:rPr>
        <w:t xml:space="preserve">بما في ذلك توفير السيولة بصفة مستمرة، وتمديد ضمانات الخصوم المصرفية، وضخ الأموال العامة لرسملة البنوك، إلى جانب وضع البرامج اللازمة لمعالجة الأصول المتعثرة، غير أن بعض هذه السياسات، وخاصة المتعلقة بمعالجة الأصول المتعثرة، كان ينقصها التفاصيل نظرا لصياغتها في عجالة، وبالتالي لم يكن بوسعها في البداية تقليل الشكوك المحيطة بالأصول المتعثرة على النحو الكافي. كذلك استخدمت البنوك المركزية أدوات السياسات سواء التقليدية أو غير التقليدية بغية تيسير أوضاع أسواق الائتمان، وخفضت أسعار الفائدة الأساسية إلى مستويات لم يسبق لها مثيل، ومع ذلك انكمش نمو الائتمان الكلي. وبينما بدأ تنفيذ </w:t>
      </w:r>
      <w:r w:rsidR="00CF4CFE" w:rsidRPr="004633E7">
        <w:rPr>
          <w:rFonts w:ascii="Traditional Arabic" w:hAnsi="Traditional Arabic" w:cs="Traditional Arabic"/>
          <w:sz w:val="32"/>
          <w:szCs w:val="32"/>
          <w:rtl/>
          <w:lang w:bidi="ar-DZ"/>
        </w:rPr>
        <w:lastRenderedPageBreak/>
        <w:t>مجموعات كبيرة من الدفعات التنشيطية المالية في كل من الصين وألمانيا واليابان وكوريا والمملكة المتحدة والولايات المتحدة</w:t>
      </w:r>
      <w:r w:rsidR="00CF4CFE" w:rsidRPr="006E2F09">
        <w:rPr>
          <w:rFonts w:ascii="Traditional Arabic" w:hAnsi="Traditional Arabic" w:cs="Traditional Arabic" w:hint="cs"/>
          <w:sz w:val="32"/>
          <w:szCs w:val="32"/>
          <w:rtl/>
          <w:lang w:bidi="ar-DZ"/>
        </w:rPr>
        <w:t xml:space="preserve"> </w:t>
      </w:r>
      <w:r w:rsidR="00CF4CFE">
        <w:rPr>
          <w:rFonts w:ascii="Traditional Arabic" w:hAnsi="Traditional Arabic" w:cs="Traditional Arabic" w:hint="cs"/>
          <w:sz w:val="32"/>
          <w:szCs w:val="32"/>
          <w:rtl/>
          <w:lang w:bidi="ar-DZ"/>
        </w:rPr>
        <w:t>الأمريكية</w:t>
      </w:r>
      <w:r w:rsidR="00BC5F0B">
        <w:rPr>
          <w:rFonts w:ascii="Traditional Arabic" w:hAnsi="Traditional Arabic" w:cs="Traditional Arabic"/>
          <w:sz w:val="32"/>
          <w:szCs w:val="32"/>
          <w:rtl/>
          <w:lang w:bidi="ar-DZ"/>
        </w:rPr>
        <w:t>، فإن أثر الزيادة في الإنفاق ل</w:t>
      </w:r>
      <w:r w:rsidR="00BC5F0B">
        <w:rPr>
          <w:rFonts w:ascii="Traditional Arabic" w:hAnsi="Traditional Arabic" w:cs="Traditional Arabic" w:hint="cs"/>
          <w:sz w:val="32"/>
          <w:szCs w:val="32"/>
          <w:rtl/>
          <w:lang w:bidi="ar-DZ"/>
        </w:rPr>
        <w:t>م</w:t>
      </w:r>
      <w:r w:rsidR="00CF4CFE" w:rsidRPr="004633E7">
        <w:rPr>
          <w:rFonts w:ascii="Traditional Arabic" w:hAnsi="Traditional Arabic" w:cs="Traditional Arabic"/>
          <w:sz w:val="32"/>
          <w:szCs w:val="32"/>
          <w:rtl/>
          <w:lang w:bidi="ar-DZ"/>
        </w:rPr>
        <w:t xml:space="preserve"> يظهر إلا في أواخر </w:t>
      </w:r>
      <w:r w:rsidR="00CF4CFE" w:rsidRPr="004633E7">
        <w:rPr>
          <w:rFonts w:ascii="Traditional Arabic" w:hAnsi="Traditional Arabic" w:cs="Traditional Arabic"/>
          <w:sz w:val="24"/>
          <w:szCs w:val="24"/>
          <w:rtl/>
          <w:lang w:bidi="ar-DZ"/>
        </w:rPr>
        <w:t xml:space="preserve">2009 </w:t>
      </w:r>
      <w:r w:rsidR="00CF4CFE" w:rsidRPr="004633E7">
        <w:rPr>
          <w:rFonts w:ascii="Traditional Arabic" w:hAnsi="Traditional Arabic" w:cs="Traditional Arabic"/>
          <w:sz w:val="32"/>
          <w:szCs w:val="32"/>
          <w:rtl/>
          <w:lang w:bidi="ar-DZ"/>
        </w:rPr>
        <w:t xml:space="preserve">وفي </w:t>
      </w:r>
      <w:r w:rsidR="00CF4CFE" w:rsidRPr="004633E7">
        <w:rPr>
          <w:rFonts w:ascii="Traditional Arabic" w:hAnsi="Traditional Arabic" w:cs="Traditional Arabic"/>
          <w:sz w:val="24"/>
          <w:szCs w:val="24"/>
          <w:rtl/>
          <w:lang w:bidi="ar-DZ"/>
        </w:rPr>
        <w:t>2010</w:t>
      </w:r>
      <w:r w:rsidR="00CF4CFE" w:rsidRPr="004633E7">
        <w:rPr>
          <w:rFonts w:ascii="Traditional Arabic" w:hAnsi="Traditional Arabic" w:cs="Traditional Arabic"/>
          <w:sz w:val="32"/>
          <w:szCs w:val="32"/>
          <w:rtl/>
          <w:lang w:bidi="ar-DZ"/>
        </w:rPr>
        <w:t xml:space="preserve">. </w:t>
      </w:r>
      <w:r w:rsidR="00BC5F0B">
        <w:rPr>
          <w:rFonts w:ascii="Traditional Arabic" w:hAnsi="Traditional Arabic" w:cs="Traditional Arabic" w:hint="cs"/>
          <w:sz w:val="32"/>
          <w:szCs w:val="32"/>
          <w:rtl/>
          <w:lang w:bidi="ar-DZ"/>
        </w:rPr>
        <w:t xml:space="preserve"> </w:t>
      </w:r>
    </w:p>
    <w:p w:rsidR="00CF4CFE" w:rsidRPr="004633E7"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وفي الولايات المتحدة الأمريكية، تسببت أكبر أزمة مالية منذ الكساد الكبير في دفع البلاد إلى هاوية الركود العميق، حيث تكثفت الضائقة الائتمانية وواصلت أسعار الأصول هبوطها. وكانت مشاعر عدم اليقين الزائدة وخسائر الثروة الضخمة فضلا على انخفاض توقعات الإيرادات من أسباب تراجع ثقة المستهلكين إلى أدنى مستوياتها مما أدى إلى حدوث طفرة كبيرة في معدلات الادخار. ومع انخفاض معدلات الاستهلاك، تراجع </w:t>
      </w:r>
      <w:r>
        <w:rPr>
          <w:rFonts w:ascii="Traditional Arabic" w:hAnsi="Traditional Arabic" w:cs="Traditional Arabic" w:hint="cs"/>
          <w:sz w:val="32"/>
          <w:szCs w:val="32"/>
          <w:rtl/>
          <w:lang w:bidi="ar-DZ"/>
        </w:rPr>
        <w:t xml:space="preserve">معدل نمو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من </w:t>
      </w:r>
      <w:r w:rsidRPr="00F44F5E">
        <w:rPr>
          <w:rFonts w:ascii="Traditional Arabic" w:hAnsi="Traditional Arabic" w:cs="Traditional Arabic" w:hint="cs"/>
          <w:sz w:val="24"/>
          <w:szCs w:val="24"/>
          <w:rtl/>
          <w:lang w:bidi="ar-DZ"/>
        </w:rPr>
        <w:t>2.1</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sidRPr="00F44F5E">
        <w:rPr>
          <w:rFonts w:ascii="Traditional Arabic" w:hAnsi="Traditional Arabic" w:cs="Traditional Arabic" w:hint="cs"/>
          <w:sz w:val="24"/>
          <w:szCs w:val="24"/>
          <w:rtl/>
          <w:lang w:bidi="ar-DZ"/>
        </w:rPr>
        <w:t>0.4</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sidRPr="00F44F5E">
        <w:rPr>
          <w:rFonts w:ascii="Traditional Arabic" w:hAnsi="Traditional Arabic" w:cs="Traditional Arabic" w:hint="cs"/>
          <w:sz w:val="24"/>
          <w:szCs w:val="24"/>
          <w:rtl/>
          <w:lang w:bidi="ar-DZ"/>
        </w:rPr>
        <w:t>2.5-</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sidRPr="004633E7">
        <w:rPr>
          <w:rFonts w:ascii="Traditional Arabic" w:hAnsi="Traditional Arabic" w:cs="Traditional Arabic"/>
          <w:sz w:val="32"/>
          <w:szCs w:val="32"/>
          <w:rtl/>
          <w:lang w:bidi="ar-DZ"/>
        </w:rPr>
        <w:t>، وارتفعت نسبة البطالة</w:t>
      </w:r>
      <w:r>
        <w:rPr>
          <w:rFonts w:ascii="Traditional Arabic" w:hAnsi="Traditional Arabic" w:cs="Traditional Arabic" w:hint="cs"/>
          <w:sz w:val="32"/>
          <w:szCs w:val="32"/>
          <w:rtl/>
          <w:lang w:bidi="ar-DZ"/>
        </w:rPr>
        <w:t xml:space="preserve"> إلى مستويات قياسية</w:t>
      </w:r>
      <w:r w:rsidRPr="004633E7">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CF4CFE" w:rsidRPr="004633E7"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وفي أوروبا، تعرضت النظم المالية لصدمة أشد وأطول أمدا من المتوقع، وكانت السياسات الاقتصادية عموما أبطأ من أن تتفاعل معها، كما تدهورت الثقة في ظل تراجع نشاط قطاعي الأسر والشركات. وأبدى التعرض لمخاطر الأصول الأمريكية إلى عواقب جسيمة في النظام المصرفي الأوروبي نظرا لشدة الارتباط فيما بين كبرى المؤسسات المالية في أوروبا وارتفاع درجة التمويل بالديون فيها. وبالتالي</w:t>
      </w:r>
      <w:r>
        <w:rPr>
          <w:rFonts w:ascii="Traditional Arabic" w:hAnsi="Traditional Arabic" w:cs="Traditional Arabic" w:hint="cs"/>
          <w:sz w:val="32"/>
          <w:szCs w:val="32"/>
          <w:rtl/>
          <w:lang w:bidi="ar-DZ"/>
        </w:rPr>
        <w:t xml:space="preserve"> انكمش معدل نمو</w:t>
      </w:r>
      <w:r w:rsidRPr="004633E7">
        <w:rPr>
          <w:rFonts w:ascii="Traditional Arabic" w:hAnsi="Traditional Arabic" w:cs="Traditional Arabic"/>
          <w:sz w:val="32"/>
          <w:szCs w:val="32"/>
          <w:rtl/>
          <w:lang w:bidi="ar-DZ"/>
        </w:rPr>
        <w:t xml:space="preserve"> إجمالي الناتج المحلي الحقيقي</w:t>
      </w:r>
      <w:r>
        <w:rPr>
          <w:rFonts w:ascii="Traditional Arabic" w:hAnsi="Traditional Arabic" w:cs="Traditional Arabic" w:hint="cs"/>
          <w:sz w:val="32"/>
          <w:szCs w:val="32"/>
          <w:rtl/>
          <w:lang w:bidi="ar-DZ"/>
        </w:rPr>
        <w:t xml:space="preserve"> من </w:t>
      </w:r>
      <w:r>
        <w:rPr>
          <w:rFonts w:ascii="Traditional Arabic" w:hAnsi="Traditional Arabic" w:cs="Traditional Arabic" w:hint="cs"/>
          <w:sz w:val="24"/>
          <w:szCs w:val="24"/>
          <w:rtl/>
          <w:lang w:bidi="ar-DZ"/>
        </w:rPr>
        <w:t>2.7</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sidRPr="00F44F5E">
        <w:rPr>
          <w:rFonts w:ascii="Traditional Arabic" w:hAnsi="Traditional Arabic" w:cs="Traditional Arabic" w:hint="cs"/>
          <w:sz w:val="24"/>
          <w:szCs w:val="24"/>
          <w:rtl/>
          <w:lang w:bidi="ar-DZ"/>
        </w:rPr>
        <w:t>0.</w:t>
      </w:r>
      <w:r>
        <w:rPr>
          <w:rFonts w:ascii="Traditional Arabic" w:hAnsi="Traditional Arabic" w:cs="Traditional Arabic" w:hint="cs"/>
          <w:sz w:val="24"/>
          <w:szCs w:val="24"/>
          <w:rtl/>
          <w:lang w:bidi="ar-DZ"/>
        </w:rPr>
        <w:t>6</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3.9</w:t>
      </w:r>
      <w:r w:rsidRPr="00F44F5E">
        <w:rPr>
          <w:rFonts w:ascii="Traditional Arabic" w:hAnsi="Traditional Arabic" w:cs="Traditional Arabic" w:hint="cs"/>
          <w:sz w:val="24"/>
          <w:szCs w:val="24"/>
          <w:rtl/>
          <w:lang w:bidi="ar-DZ"/>
        </w:rPr>
        <w:t>-</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Pr>
          <w:rFonts w:ascii="Traditional Arabic" w:hAnsi="Traditional Arabic" w:cs="Traditional Arabic" w:hint="cs"/>
          <w:sz w:val="32"/>
          <w:szCs w:val="32"/>
          <w:rtl/>
          <w:lang w:bidi="ar-DZ"/>
        </w:rPr>
        <w:t xml:space="preserve">.  </w:t>
      </w:r>
    </w:p>
    <w:p w:rsidR="00CF4CFE" w:rsidRPr="004633E7"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وفي آسيا، وقع الضرر الأكبر على الاقتصاديات المتقدمة نتيجة زيادة تعرضها لمخاطر انخفاض الطلب الخارجي، لاسيما بالنسبة للسلع الاستهلاكية. فقد سجل الاقتصاد الياباني انكماشا</w:t>
      </w:r>
      <w:r>
        <w:rPr>
          <w:rFonts w:ascii="Traditional Arabic" w:hAnsi="Traditional Arabic" w:cs="Traditional Arabic" w:hint="cs"/>
          <w:sz w:val="32"/>
          <w:szCs w:val="32"/>
          <w:rtl/>
          <w:lang w:bidi="ar-DZ"/>
        </w:rPr>
        <w:t>، وانخفض معدل نمو</w:t>
      </w:r>
      <w:r w:rsidRPr="0030134E">
        <w:rPr>
          <w:rFonts w:ascii="Traditional Arabic" w:hAnsi="Traditional Arabic" w:cs="Traditional Arabic"/>
          <w:sz w:val="32"/>
          <w:szCs w:val="32"/>
          <w:rtl/>
          <w:lang w:bidi="ar-DZ"/>
        </w:rPr>
        <w:t xml:space="preserve"> </w:t>
      </w:r>
      <w:r w:rsidR="00871F4E">
        <w:rPr>
          <w:rFonts w:ascii="Traditional Arabic" w:hAnsi="Traditional Arabic" w:cs="Traditional Arabic"/>
          <w:sz w:val="32"/>
          <w:szCs w:val="32"/>
          <w:rtl/>
          <w:lang w:bidi="ar-DZ"/>
        </w:rPr>
        <w:t xml:space="preserve">إجمالي </w:t>
      </w:r>
      <w:r w:rsidRPr="004633E7">
        <w:rPr>
          <w:rFonts w:ascii="Traditional Arabic" w:hAnsi="Traditional Arabic" w:cs="Traditional Arabic"/>
          <w:sz w:val="32"/>
          <w:szCs w:val="32"/>
          <w:rtl/>
          <w:lang w:bidi="ar-DZ"/>
        </w:rPr>
        <w:t>ناتج</w:t>
      </w:r>
      <w:r w:rsidR="00871F4E">
        <w:rPr>
          <w:rFonts w:ascii="Traditional Arabic" w:hAnsi="Traditional Arabic" w:cs="Traditional Arabic" w:hint="cs"/>
          <w:sz w:val="32"/>
          <w:szCs w:val="32"/>
          <w:rtl/>
          <w:lang w:bidi="ar-DZ"/>
        </w:rPr>
        <w:t>ه</w:t>
      </w:r>
      <w:r w:rsidRPr="004633E7">
        <w:rPr>
          <w:rFonts w:ascii="Traditional Arabic" w:hAnsi="Traditional Arabic" w:cs="Traditional Arabic"/>
          <w:sz w:val="32"/>
          <w:szCs w:val="32"/>
          <w:rtl/>
          <w:lang w:bidi="ar-DZ"/>
        </w:rPr>
        <w:t xml:space="preserve"> المحلي الحقيقي</w:t>
      </w:r>
      <w:r>
        <w:rPr>
          <w:rFonts w:ascii="Traditional Arabic" w:hAnsi="Traditional Arabic" w:cs="Traditional Arabic" w:hint="cs"/>
          <w:sz w:val="32"/>
          <w:szCs w:val="32"/>
          <w:rtl/>
          <w:lang w:bidi="ar-DZ"/>
        </w:rPr>
        <w:t xml:space="preserve"> من </w:t>
      </w:r>
      <w:r>
        <w:rPr>
          <w:rFonts w:ascii="Traditional Arabic" w:hAnsi="Traditional Arabic" w:cs="Traditional Arabic" w:hint="cs"/>
          <w:sz w:val="24"/>
          <w:szCs w:val="24"/>
          <w:rtl/>
          <w:lang w:bidi="ar-DZ"/>
        </w:rPr>
        <w:t>2.3</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Pr>
          <w:rFonts w:ascii="Traditional Arabic" w:hAnsi="Traditional Arabic" w:cs="Traditional Arabic" w:hint="cs"/>
          <w:sz w:val="24"/>
          <w:szCs w:val="24"/>
          <w:rtl/>
          <w:lang w:bidi="ar-DZ"/>
        </w:rPr>
        <w:t>1.2-</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5.3</w:t>
      </w:r>
      <w:r w:rsidRPr="00F44F5E">
        <w:rPr>
          <w:rFonts w:ascii="Traditional Arabic" w:hAnsi="Traditional Arabic" w:cs="Traditional Arabic" w:hint="cs"/>
          <w:sz w:val="24"/>
          <w:szCs w:val="24"/>
          <w:rtl/>
          <w:lang w:bidi="ar-DZ"/>
        </w:rPr>
        <w:t>-</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sidRPr="004633E7">
        <w:rPr>
          <w:rFonts w:ascii="Traditional Arabic" w:hAnsi="Traditional Arabic" w:cs="Traditional Arabic"/>
          <w:sz w:val="32"/>
          <w:szCs w:val="32"/>
          <w:rtl/>
          <w:lang w:bidi="ar-DZ"/>
        </w:rPr>
        <w:t>، في ظل قوة الين الياباني وزيادة تقييد الائتمان نسبيا بالإضافة إلى المشاكل التي طرأت في قطاع التصدير.</w:t>
      </w:r>
      <w:r>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00871F4E">
        <w:rPr>
          <w:rFonts w:ascii="Traditional Arabic" w:hAnsi="Traditional Arabic" w:cs="Traditional Arabic" w:hint="cs"/>
          <w:sz w:val="32"/>
          <w:szCs w:val="32"/>
          <w:rtl/>
          <w:lang w:bidi="ar-DZ"/>
        </w:rPr>
        <w:t xml:space="preserve"> </w:t>
      </w:r>
      <w:r w:rsidR="00441D4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CF4CFE" w:rsidRPr="004633E7" w:rsidRDefault="00CF4CFE" w:rsidP="0060589B">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وقامت اقتصاديات متقدمة أخرى مثلا كندا وأستراليا ونيوزيلندا بمعالجة صدمات معدلات التبادل التجاري السلبية، وأثر الانخفاض الكبير في الثروة الخاصة، وفي حالة كندا ضعف الطلب </w:t>
      </w:r>
      <w:r>
        <w:rPr>
          <w:rFonts w:ascii="Traditional Arabic" w:hAnsi="Traditional Arabic" w:cs="Traditional Arabic" w:hint="cs"/>
          <w:sz w:val="32"/>
          <w:szCs w:val="32"/>
          <w:rtl/>
          <w:lang w:bidi="ar-DZ"/>
        </w:rPr>
        <w:t>من</w:t>
      </w:r>
      <w:r w:rsidRPr="004633E7">
        <w:rPr>
          <w:rFonts w:ascii="Traditional Arabic" w:hAnsi="Traditional Arabic" w:cs="Traditional Arabic"/>
          <w:sz w:val="32"/>
          <w:szCs w:val="32"/>
          <w:rtl/>
          <w:lang w:bidi="ar-DZ"/>
        </w:rPr>
        <w:t xml:space="preserve"> الولايات المتحدة</w:t>
      </w:r>
      <w:r w:rsidRPr="009F3B8F">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الأمريكية</w:t>
      </w:r>
      <w:r w:rsidRPr="004633E7">
        <w:rPr>
          <w:rFonts w:ascii="Traditional Arabic" w:hAnsi="Traditional Arabic" w:cs="Traditional Arabic"/>
          <w:sz w:val="32"/>
          <w:szCs w:val="32"/>
          <w:rtl/>
          <w:lang w:bidi="ar-DZ"/>
        </w:rPr>
        <w:t>. غير أنه بعد سنوات من اعتماد سياسات المالية العامة الاحترازية وزيادة القواعد التنظيمية المتحفظة في النظام المالي، أصبحت هذه البلدان أكثر قدرة من غيرها من الاقتصاديات المتقدمة على الحد من الانخفاض في الطلب</w:t>
      </w:r>
      <w:r w:rsidR="00AC15AE">
        <w:rPr>
          <w:rStyle w:val="Appelnotedebasdep"/>
          <w:rFonts w:ascii="Traditional Arabic" w:hAnsi="Traditional Arabic" w:cs="Traditional Arabic"/>
          <w:sz w:val="32"/>
          <w:szCs w:val="32"/>
          <w:rtl/>
          <w:lang w:bidi="ar-DZ"/>
        </w:rPr>
        <w:footnoteReference w:id="11"/>
      </w:r>
      <w:r w:rsidRPr="004633E7">
        <w:rPr>
          <w:rFonts w:ascii="Traditional Arabic" w:hAnsi="Traditional Arabic" w:cs="Traditional Arabic"/>
          <w:sz w:val="32"/>
          <w:szCs w:val="32"/>
          <w:rtl/>
          <w:lang w:bidi="ar-DZ"/>
        </w:rPr>
        <w:t xml:space="preserve">.  </w:t>
      </w:r>
      <w:r w:rsidR="00FD69B4">
        <w:rPr>
          <w:rFonts w:ascii="Traditional Arabic" w:hAnsi="Traditional Arabic" w:cs="Traditional Arabic"/>
          <w:sz w:val="32"/>
          <w:szCs w:val="32"/>
          <w:lang w:bidi="ar-DZ"/>
        </w:rPr>
        <w:t xml:space="preserve">  </w:t>
      </w:r>
    </w:p>
    <w:p w:rsidR="00CF4CFE" w:rsidRPr="004633E7" w:rsidRDefault="00CF4CFE" w:rsidP="00CF4CFE">
      <w:pPr>
        <w:pStyle w:val="En-tte"/>
        <w:bidi/>
        <w:spacing w:line="276" w:lineRule="auto"/>
        <w:rPr>
          <w:rFonts w:ascii="Traditional Arabic" w:hAnsi="Traditional Arabic" w:cs="Traditional Arabic"/>
          <w:b/>
          <w:bCs/>
          <w:sz w:val="32"/>
          <w:szCs w:val="32"/>
          <w:rtl/>
          <w:lang w:bidi="ar-DZ"/>
        </w:rPr>
      </w:pPr>
      <w:r w:rsidRPr="004633E7">
        <w:rPr>
          <w:rFonts w:ascii="Traditional Arabic" w:hAnsi="Traditional Arabic" w:cs="Traditional Arabic"/>
          <w:b/>
          <w:bCs/>
          <w:sz w:val="32"/>
          <w:szCs w:val="32"/>
          <w:rtl/>
          <w:lang w:bidi="ar-DZ"/>
        </w:rPr>
        <w:lastRenderedPageBreak/>
        <w:t xml:space="preserve">المطلب الثاني: انعكاسات الأزمة المالية على اقتصاديات الأسواق </w:t>
      </w:r>
      <w:r w:rsidRPr="004633E7">
        <w:rPr>
          <w:rFonts w:ascii="Traditional Arabic" w:hAnsi="Traditional Arabic" w:cs="Traditional Arabic" w:hint="cs"/>
          <w:b/>
          <w:bCs/>
          <w:sz w:val="32"/>
          <w:szCs w:val="32"/>
          <w:rtl/>
          <w:lang w:bidi="ar-DZ"/>
        </w:rPr>
        <w:t>الناشئة</w:t>
      </w:r>
      <w:r w:rsidRPr="004633E7">
        <w:rPr>
          <w:rFonts w:ascii="Traditional Arabic" w:hAnsi="Traditional Arabic" w:cs="Traditional Arabic"/>
          <w:b/>
          <w:bCs/>
          <w:sz w:val="32"/>
          <w:szCs w:val="32"/>
          <w:rtl/>
          <w:lang w:bidi="ar-DZ"/>
        </w:rPr>
        <w:t xml:space="preserve">:  </w:t>
      </w:r>
    </w:p>
    <w:p w:rsidR="00CF4CFE" w:rsidRDefault="00CF4CFE" w:rsidP="00CF4CFE">
      <w:pPr>
        <w:tabs>
          <w:tab w:val="left" w:pos="567"/>
          <w:tab w:val="left" w:pos="3978"/>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أدى انكماش التدفقات الرأسمالية العالمية والهروب من المخاطر إلى إلحاق ضرر بالغ ببلدان أوروبا </w:t>
      </w:r>
      <w:r w:rsidRPr="004633E7">
        <w:rPr>
          <w:rFonts w:ascii="Traditional Arabic" w:hAnsi="Traditional Arabic" w:cs="Traditional Arabic" w:hint="cs"/>
          <w:sz w:val="32"/>
          <w:szCs w:val="32"/>
          <w:rtl/>
          <w:lang w:bidi="ar-DZ"/>
        </w:rPr>
        <w:t xml:space="preserve">الناشئة، </w:t>
      </w:r>
      <w:r w:rsidRPr="004633E7">
        <w:rPr>
          <w:rFonts w:ascii="Traditional Arabic" w:hAnsi="Traditional Arabic" w:cs="Traditional Arabic"/>
          <w:sz w:val="32"/>
          <w:szCs w:val="32"/>
          <w:rtl/>
          <w:lang w:bidi="ar-DZ"/>
        </w:rPr>
        <w:t>فقد اعتمد كثير من بلدان المنطقة اعتمادا بالغا على التدفقات الرأسمالية من البنوك الغربية بهدف الحفاظ على رواج الائتمان المحلي</w:t>
      </w:r>
      <w:r w:rsidRPr="004633E7">
        <w:rPr>
          <w:rFonts w:ascii="Traditional Arabic" w:hAnsi="Traditional Arabic" w:cs="Traditional Arabic" w:hint="cs"/>
          <w:sz w:val="32"/>
          <w:szCs w:val="32"/>
          <w:rtl/>
          <w:lang w:bidi="ar-DZ"/>
        </w:rPr>
        <w:t>،</w:t>
      </w:r>
      <w:r w:rsidRPr="004633E7">
        <w:rPr>
          <w:rFonts w:ascii="Traditional Arabic" w:hAnsi="Traditional Arabic" w:cs="Traditional Arabic"/>
          <w:sz w:val="32"/>
          <w:szCs w:val="32"/>
          <w:rtl/>
          <w:lang w:bidi="ar-DZ"/>
        </w:rPr>
        <w:t xml:space="preserve"> وظهرت حالات انكشاف كبيرة فيما بين البنوك الأوروبية عبر الحدود وامتلكت المؤسسات المالية الأجنبية العديد من البنوك في أوروبا </w:t>
      </w:r>
      <w:r w:rsidRPr="004633E7">
        <w:rPr>
          <w:rFonts w:ascii="Traditional Arabic" w:hAnsi="Traditional Arabic" w:cs="Traditional Arabic" w:hint="cs"/>
          <w:sz w:val="32"/>
          <w:szCs w:val="32"/>
          <w:rtl/>
          <w:lang w:bidi="ar-DZ"/>
        </w:rPr>
        <w:t>الناشئة</w:t>
      </w:r>
      <w:r w:rsidRPr="004633E7">
        <w:rPr>
          <w:rFonts w:ascii="Traditional Arabic" w:hAnsi="Traditional Arabic" w:cs="Traditional Arabic"/>
          <w:sz w:val="32"/>
          <w:szCs w:val="32"/>
          <w:rtl/>
          <w:lang w:bidi="ar-DZ"/>
        </w:rPr>
        <w:t xml:space="preserve">. وفي خريف عام </w:t>
      </w:r>
      <w:r w:rsidRPr="004633E7">
        <w:rPr>
          <w:rFonts w:ascii="Traditional Arabic" w:hAnsi="Traditional Arabic" w:cs="Traditional Arabic"/>
          <w:sz w:val="24"/>
          <w:szCs w:val="24"/>
          <w:rtl/>
          <w:lang w:bidi="ar-DZ"/>
        </w:rPr>
        <w:t xml:space="preserve">2008 </w:t>
      </w:r>
      <w:r w:rsidRPr="004633E7">
        <w:rPr>
          <w:rFonts w:ascii="Traditional Arabic" w:hAnsi="Traditional Arabic" w:cs="Traditional Arabic"/>
          <w:sz w:val="32"/>
          <w:szCs w:val="32"/>
          <w:rtl/>
          <w:lang w:bidi="ar-DZ"/>
        </w:rPr>
        <w:t>تدهورت الأوضاع تدهورا حادا، حيث سجلت فروق العائد على السندات السيادية ارتفاعا شاملا وانخفضت أسعار الصرف انخفاضا حادا في البلدان التي تعتمد على نظم الصرف المرنة</w:t>
      </w:r>
      <w:r w:rsidRPr="004633E7">
        <w:rPr>
          <w:rFonts w:ascii="Traditional Arabic" w:hAnsi="Traditional Arabic" w:cs="Traditional Arabic" w:hint="cs"/>
          <w:sz w:val="32"/>
          <w:szCs w:val="32"/>
          <w:rtl/>
          <w:lang w:bidi="ar-DZ"/>
        </w:rPr>
        <w:t>،</w:t>
      </w:r>
      <w:r w:rsidRPr="004633E7">
        <w:rPr>
          <w:rFonts w:ascii="Traditional Arabic" w:hAnsi="Traditional Arabic" w:cs="Traditional Arabic"/>
          <w:sz w:val="32"/>
          <w:szCs w:val="32"/>
          <w:rtl/>
          <w:lang w:bidi="ar-DZ"/>
        </w:rPr>
        <w:t xml:space="preserve"> وحدث هبوط مفاجئ </w:t>
      </w:r>
      <w:r w:rsidRPr="004633E7">
        <w:rPr>
          <w:rFonts w:ascii="Traditional Arabic" w:hAnsi="Traditional Arabic" w:cs="Traditional Arabic" w:hint="cs"/>
          <w:sz w:val="32"/>
          <w:szCs w:val="32"/>
          <w:rtl/>
          <w:lang w:bidi="ar-DZ"/>
        </w:rPr>
        <w:t>ل</w:t>
      </w:r>
      <w:r w:rsidRPr="004633E7">
        <w:rPr>
          <w:rFonts w:ascii="Traditional Arabic" w:hAnsi="Traditional Arabic" w:cs="Traditional Arabic"/>
          <w:sz w:val="32"/>
          <w:szCs w:val="32"/>
          <w:rtl/>
          <w:lang w:bidi="ar-DZ"/>
        </w:rPr>
        <w:t>لنشاط الاقتصادي في بعض البلدان من جراء هبوط الطلب على الواردات في أسواق البلدان المتقدمة وانهيار أسعار العقارات وضعف إمكانية الحصول على الائتمان</w:t>
      </w:r>
      <w:r w:rsidRPr="004633E7">
        <w:rPr>
          <w:rStyle w:val="Appelnotedebasdep"/>
          <w:rFonts w:ascii="Traditional Arabic" w:hAnsi="Traditional Arabic" w:cs="Traditional Arabic"/>
          <w:sz w:val="32"/>
          <w:szCs w:val="32"/>
          <w:rtl/>
          <w:lang w:bidi="ar-DZ"/>
        </w:rPr>
        <w:footnoteReference w:id="12"/>
      </w:r>
      <w:r w:rsidRPr="004633E7">
        <w:rPr>
          <w:rFonts w:ascii="Traditional Arabic" w:hAnsi="Traditional Arabic" w:cs="Traditional Arabic" w:hint="cs"/>
          <w:sz w:val="32"/>
          <w:szCs w:val="32"/>
          <w:rtl/>
          <w:lang w:bidi="ar-DZ"/>
        </w:rPr>
        <w:t>، مما أدى إلى ركود النمو الاقتصادي،</w:t>
      </w:r>
      <w:r w:rsidRPr="00366C9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فانخفض معدل نمو</w:t>
      </w:r>
      <w:r w:rsidRPr="0030134E">
        <w:rPr>
          <w:rFonts w:ascii="Traditional Arabic" w:hAnsi="Traditional Arabic" w:cs="Traditional Arabic"/>
          <w:sz w:val="32"/>
          <w:szCs w:val="32"/>
          <w:rtl/>
          <w:lang w:bidi="ar-DZ"/>
        </w:rPr>
        <w:t xml:space="preserve">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من </w:t>
      </w:r>
      <w:r>
        <w:rPr>
          <w:rFonts w:ascii="Traditional Arabic" w:hAnsi="Traditional Arabic" w:cs="Traditional Arabic" w:hint="cs"/>
          <w:sz w:val="24"/>
          <w:szCs w:val="24"/>
          <w:rtl/>
          <w:lang w:bidi="ar-DZ"/>
        </w:rPr>
        <w:t>5.5</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Pr>
          <w:rFonts w:ascii="Traditional Arabic" w:hAnsi="Traditional Arabic" w:cs="Traditional Arabic" w:hint="cs"/>
          <w:sz w:val="24"/>
          <w:szCs w:val="24"/>
          <w:rtl/>
          <w:lang w:bidi="ar-DZ"/>
        </w:rPr>
        <w:t>3.1</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4.3</w:t>
      </w:r>
      <w:r w:rsidRPr="00F44F5E">
        <w:rPr>
          <w:rFonts w:ascii="Traditional Arabic" w:hAnsi="Traditional Arabic" w:cs="Traditional Arabic" w:hint="cs"/>
          <w:sz w:val="24"/>
          <w:szCs w:val="24"/>
          <w:rtl/>
          <w:lang w:bidi="ar-DZ"/>
        </w:rPr>
        <w:t>-</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sidR="00927169">
        <w:rPr>
          <w:rFonts w:ascii="Traditional Arabic" w:hAnsi="Traditional Arabic" w:cs="Traditional Arabic" w:hint="cs"/>
          <w:sz w:val="24"/>
          <w:szCs w:val="24"/>
          <w:rtl/>
          <w:lang w:bidi="ar-DZ"/>
        </w:rPr>
        <w:t xml:space="preserve"> </w:t>
      </w:r>
      <w:r w:rsidR="00927169" w:rsidRPr="00927169">
        <w:rPr>
          <w:rFonts w:ascii="Traditional Arabic" w:hAnsi="Traditional Arabic" w:cs="Traditional Arabic" w:hint="cs"/>
          <w:sz w:val="32"/>
          <w:szCs w:val="32"/>
          <w:rtl/>
          <w:lang w:bidi="ar-DZ"/>
        </w:rPr>
        <w:t xml:space="preserve">(أنظر الجدول رقم </w:t>
      </w:r>
      <w:r w:rsidR="00927169" w:rsidRPr="00927169">
        <w:rPr>
          <w:rFonts w:ascii="Traditional Arabic" w:hAnsi="Traditional Arabic" w:cs="Traditional Arabic" w:hint="cs"/>
          <w:sz w:val="24"/>
          <w:szCs w:val="24"/>
          <w:rtl/>
          <w:lang w:bidi="ar-DZ"/>
        </w:rPr>
        <w:t>13</w:t>
      </w:r>
      <w:r w:rsidR="00927169" w:rsidRPr="00927169">
        <w:rPr>
          <w:rFonts w:ascii="Traditional Arabic" w:hAnsi="Traditional Arabic" w:cs="Traditional Arabic" w:hint="cs"/>
          <w:sz w:val="32"/>
          <w:szCs w:val="32"/>
          <w:rtl/>
          <w:lang w:bidi="ar-DZ"/>
        </w:rPr>
        <w:t>)</w:t>
      </w:r>
      <w:r w:rsidRPr="00927169">
        <w:rPr>
          <w:rFonts w:ascii="Traditional Arabic" w:hAnsi="Traditional Arabic" w:cs="Traditional Arabic" w:hint="cs"/>
          <w:sz w:val="32"/>
          <w:szCs w:val="32"/>
          <w:rtl/>
          <w:lang w:bidi="ar-DZ"/>
        </w:rPr>
        <w:t>،</w:t>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w:t>
      </w:r>
      <w:r w:rsidRPr="004633E7">
        <w:rPr>
          <w:rFonts w:ascii="Traditional Arabic" w:hAnsi="Traditional Arabic" w:cs="Traditional Arabic" w:hint="cs"/>
          <w:sz w:val="32"/>
          <w:szCs w:val="32"/>
          <w:rtl/>
          <w:lang w:bidi="ar-DZ"/>
        </w:rPr>
        <w:t xml:space="preserve">تراكم عجز كبير في الحسابات الجارية، </w:t>
      </w:r>
      <w:r>
        <w:rPr>
          <w:rFonts w:ascii="Traditional Arabic" w:hAnsi="Traditional Arabic" w:cs="Traditional Arabic" w:hint="cs"/>
          <w:sz w:val="32"/>
          <w:szCs w:val="32"/>
          <w:rtl/>
          <w:lang w:bidi="ar-DZ"/>
        </w:rPr>
        <w:t>وانخف</w:t>
      </w:r>
      <w:r w:rsidRPr="004633E7">
        <w:rPr>
          <w:rFonts w:ascii="Traditional Arabic" w:hAnsi="Traditional Arabic" w:cs="Traditional Arabic" w:hint="cs"/>
          <w:sz w:val="32"/>
          <w:szCs w:val="32"/>
          <w:rtl/>
          <w:lang w:bidi="ar-DZ"/>
        </w:rPr>
        <w:t>ض</w:t>
      </w:r>
      <w:r>
        <w:rPr>
          <w:rFonts w:ascii="Traditional Arabic" w:hAnsi="Traditional Arabic" w:cs="Traditional Arabic" w:hint="cs"/>
          <w:sz w:val="32"/>
          <w:szCs w:val="32"/>
          <w:rtl/>
          <w:lang w:bidi="ar-DZ"/>
        </w:rPr>
        <w:t>ت</w:t>
      </w:r>
      <w:r w:rsidRPr="004633E7">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الإيرادات الحكومية</w:t>
      </w:r>
      <w:r w:rsidRPr="004633E7">
        <w:rPr>
          <w:rFonts w:ascii="Traditional Arabic" w:hAnsi="Traditional Arabic" w:cs="Traditional Arabic" w:hint="cs"/>
          <w:sz w:val="32"/>
          <w:szCs w:val="32"/>
          <w:rtl/>
          <w:lang w:bidi="ar-DZ"/>
        </w:rPr>
        <w:t>، كما أن التكامل الاقتصادي والمالي الذي ساعد أوروبا الناشئة على اللحاق بأوروبا المتقدمة، جعلها أكثر تعرضا للمخاطر مع زيادة المناخ الاقتصادي العالمي سوءا</w:t>
      </w:r>
      <w:r w:rsidRPr="004633E7">
        <w:rPr>
          <w:rStyle w:val="Appelnotedebasdep"/>
          <w:rFonts w:ascii="Traditional Arabic" w:hAnsi="Traditional Arabic" w:cs="Traditional Arabic"/>
          <w:sz w:val="32"/>
          <w:szCs w:val="32"/>
          <w:rtl/>
          <w:lang w:bidi="ar-DZ"/>
        </w:rPr>
        <w:footnoteReference w:id="13"/>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CF4CFE" w:rsidRPr="004633E7" w:rsidRDefault="00CF4CFE" w:rsidP="00CF4CFE">
      <w:pPr>
        <w:tabs>
          <w:tab w:val="right" w:pos="567"/>
        </w:tabs>
        <w:bidi/>
        <w:jc w:val="both"/>
        <w:rPr>
          <w:rFonts w:ascii="Traditional Arabic" w:hAnsi="Traditional Arabic" w:cs="Traditional Arabic"/>
          <w:sz w:val="32"/>
          <w:szCs w:val="32"/>
          <w:lang w:bidi="ar-DZ"/>
        </w:rPr>
      </w:pPr>
      <w:r w:rsidRPr="004633E7">
        <w:rPr>
          <w:rFonts w:ascii="Traditional Arabic" w:hAnsi="Traditional Arabic" w:cs="Traditional Arabic"/>
          <w:sz w:val="32"/>
          <w:szCs w:val="32"/>
          <w:rtl/>
          <w:lang w:bidi="ar-DZ"/>
        </w:rPr>
        <w:t xml:space="preserve">        وشهدت بلدان كومنولث الدول المستقلة أكبر هبوط ف</w:t>
      </w:r>
      <w:r>
        <w:rPr>
          <w:rFonts w:ascii="Traditional Arabic" w:hAnsi="Traditional Arabic" w:cs="Traditional Arabic"/>
          <w:sz w:val="32"/>
          <w:szCs w:val="32"/>
          <w:rtl/>
          <w:lang w:bidi="ar-DZ"/>
        </w:rPr>
        <w:t>ي النشاط الاقتصادي</w:t>
      </w:r>
      <w:r w:rsidRPr="004633E7">
        <w:rPr>
          <w:rFonts w:ascii="Traditional Arabic" w:hAnsi="Traditional Arabic" w:cs="Traditional Arabic"/>
          <w:sz w:val="32"/>
          <w:szCs w:val="32"/>
          <w:rtl/>
          <w:lang w:bidi="ar-DZ"/>
        </w:rPr>
        <w:t>، حيث تعرضت اقتصادياتها إلى ثلاث صدمات كبرى. فقد توقفت عمليات التمويل الخارجي تماما وانخفضت إلى حد كبير، وهبطت مستويات الطلب في أسواق الصادرات بالمنطقة، وشهدت أسعار السلع الأولية هبوطا حادا، لاسيما أسعار الطاقة. وكانت النظم المالية في</w:t>
      </w:r>
      <w:r w:rsidRPr="004633E7">
        <w:rPr>
          <w:rFonts w:ascii="Traditional Arabic" w:hAnsi="Traditional Arabic" w:cs="Traditional Arabic" w:hint="cs"/>
          <w:sz w:val="32"/>
          <w:szCs w:val="32"/>
          <w:rtl/>
          <w:lang w:bidi="ar-DZ"/>
        </w:rPr>
        <w:t>ها</w:t>
      </w:r>
      <w:r w:rsidRPr="004633E7">
        <w:rPr>
          <w:rFonts w:ascii="Traditional Arabic" w:hAnsi="Traditional Arabic" w:cs="Traditional Arabic"/>
          <w:sz w:val="32"/>
          <w:szCs w:val="32"/>
          <w:rtl/>
          <w:lang w:bidi="ar-DZ"/>
        </w:rPr>
        <w:t xml:space="preserve"> منفتحة للغاية وشديدة التأثر بالاضطرابات المالية الوافدة من الخارج. وبع</w:t>
      </w:r>
      <w:r>
        <w:rPr>
          <w:rFonts w:ascii="Traditional Arabic" w:hAnsi="Traditional Arabic" w:cs="Traditional Arabic"/>
          <w:sz w:val="32"/>
          <w:szCs w:val="32"/>
          <w:rtl/>
          <w:lang w:bidi="ar-DZ"/>
        </w:rPr>
        <w:t>د سنوات سادها النمو القوي، انكم</w:t>
      </w:r>
      <w:r w:rsidRPr="004633E7">
        <w:rPr>
          <w:rFonts w:ascii="Traditional Arabic" w:hAnsi="Traditional Arabic" w:cs="Traditional Arabic"/>
          <w:sz w:val="32"/>
          <w:szCs w:val="32"/>
          <w:rtl/>
          <w:lang w:bidi="ar-DZ"/>
        </w:rPr>
        <w:t>ش</w:t>
      </w:r>
      <w:r>
        <w:rPr>
          <w:rFonts w:ascii="Traditional Arabic" w:hAnsi="Traditional Arabic" w:cs="Traditional Arabic" w:hint="cs"/>
          <w:sz w:val="32"/>
          <w:szCs w:val="32"/>
          <w:rtl/>
          <w:lang w:bidi="ar-DZ"/>
        </w:rPr>
        <w:t xml:space="preserve"> معدل نمو</w:t>
      </w:r>
      <w:r w:rsidRPr="0030134E">
        <w:rPr>
          <w:rFonts w:ascii="Traditional Arabic" w:hAnsi="Traditional Arabic" w:cs="Traditional Arabic"/>
          <w:sz w:val="32"/>
          <w:szCs w:val="32"/>
          <w:rtl/>
          <w:lang w:bidi="ar-DZ"/>
        </w:rPr>
        <w:t xml:space="preserve">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من </w:t>
      </w:r>
      <w:r>
        <w:rPr>
          <w:rFonts w:ascii="Traditional Arabic" w:hAnsi="Traditional Arabic" w:cs="Traditional Arabic" w:hint="cs"/>
          <w:sz w:val="24"/>
          <w:szCs w:val="24"/>
          <w:rtl/>
          <w:lang w:bidi="ar-DZ"/>
        </w:rPr>
        <w:t>8.6</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Pr>
          <w:rFonts w:ascii="Traditional Arabic" w:hAnsi="Traditional Arabic" w:cs="Traditional Arabic" w:hint="cs"/>
          <w:sz w:val="24"/>
          <w:szCs w:val="24"/>
          <w:rtl/>
          <w:lang w:bidi="ar-DZ"/>
        </w:rPr>
        <w:t>5.5</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7.5</w:t>
      </w:r>
      <w:r w:rsidRPr="00F44F5E">
        <w:rPr>
          <w:rFonts w:ascii="Traditional Arabic" w:hAnsi="Traditional Arabic" w:cs="Traditional Arabic" w:hint="cs"/>
          <w:sz w:val="24"/>
          <w:szCs w:val="24"/>
          <w:rtl/>
          <w:lang w:bidi="ar-DZ"/>
        </w:rPr>
        <w:t>-</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sidRPr="00706259">
        <w:rPr>
          <w:rFonts w:ascii="Traditional Arabic" w:hAnsi="Traditional Arabic" w:cs="Traditional Arabic" w:hint="cs"/>
          <w:sz w:val="32"/>
          <w:szCs w:val="32"/>
          <w:rtl/>
          <w:lang w:bidi="ar-DZ"/>
        </w:rPr>
        <w:t>،</w:t>
      </w:r>
      <w:r>
        <w:rPr>
          <w:rFonts w:ascii="Traditional Arabic" w:hAnsi="Traditional Arabic" w:cs="Traditional Arabic" w:hint="cs"/>
          <w:sz w:val="24"/>
          <w:szCs w:val="24"/>
          <w:rtl/>
          <w:lang w:bidi="ar-DZ"/>
        </w:rPr>
        <w:t xml:space="preserve"> </w:t>
      </w:r>
      <w:r w:rsidRPr="004633E7">
        <w:rPr>
          <w:rFonts w:ascii="Traditional Arabic" w:hAnsi="Traditional Arabic" w:cs="Traditional Arabic"/>
          <w:sz w:val="32"/>
          <w:szCs w:val="32"/>
          <w:rtl/>
          <w:lang w:bidi="ar-DZ"/>
        </w:rPr>
        <w:t xml:space="preserve">ولم يتراجع التضخم بنفس القدر المشاهد في الأسواق </w:t>
      </w:r>
      <w:r w:rsidRPr="004633E7">
        <w:rPr>
          <w:rFonts w:ascii="Traditional Arabic" w:hAnsi="Traditional Arabic" w:cs="Traditional Arabic" w:hint="cs"/>
          <w:sz w:val="32"/>
          <w:szCs w:val="32"/>
          <w:rtl/>
          <w:lang w:bidi="ar-DZ"/>
        </w:rPr>
        <w:t>الناشئة</w:t>
      </w:r>
      <w:r w:rsidRPr="004633E7">
        <w:rPr>
          <w:rFonts w:ascii="Traditional Arabic" w:hAnsi="Traditional Arabic" w:cs="Traditional Arabic"/>
          <w:sz w:val="32"/>
          <w:szCs w:val="32"/>
          <w:rtl/>
          <w:lang w:bidi="ar-DZ"/>
        </w:rPr>
        <w:t xml:space="preserve"> الأخرى بسبب انتقال آثار الانخفاض في أسعار العملة. فقد أدى ضعف العملات إلى فرض عبء كبير على كاهل الشركات غير المالية التي كانت تقترض بالعملة الأجنبية، مما استدعى إجراء تخفيضات ضخمة في الاستثمار والتوظيف.</w:t>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4633E7">
        <w:rPr>
          <w:rFonts w:ascii="Traditional Arabic" w:hAnsi="Traditional Arabic" w:cs="Traditional Arabic" w:hint="cs"/>
          <w:sz w:val="32"/>
          <w:szCs w:val="32"/>
          <w:rtl/>
          <w:lang w:bidi="ar-DZ"/>
        </w:rPr>
        <w:t xml:space="preserve">  </w:t>
      </w:r>
    </w:p>
    <w:p w:rsidR="00CF4CFE" w:rsidRPr="007B74C5" w:rsidRDefault="00CF4CFE" w:rsidP="00CF4CFE">
      <w:pPr>
        <w:tabs>
          <w:tab w:val="left" w:pos="567"/>
          <w:tab w:val="left" w:pos="3978"/>
        </w:tabs>
        <w:bidi/>
        <w:jc w:val="both"/>
        <w:rPr>
          <w:rFonts w:ascii="Traditional Arabic" w:hAnsi="Traditional Arabic" w:cs="Traditional Arabic"/>
          <w:sz w:val="32"/>
          <w:szCs w:val="32"/>
          <w:rtl/>
          <w:lang w:bidi="ar-DZ"/>
        </w:rPr>
      </w:pPr>
    </w:p>
    <w:p w:rsidR="00CF4CFE" w:rsidRDefault="00CF4CFE" w:rsidP="0067613E">
      <w:pPr>
        <w:tabs>
          <w:tab w:val="left" w:pos="567"/>
          <w:tab w:val="left" w:pos="3978"/>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الجدول رقم</w:t>
      </w:r>
      <w:r w:rsidR="00F5533E">
        <w:rPr>
          <w:rFonts w:ascii="Traditional Arabic" w:hAnsi="Traditional Arabic" w:cs="Traditional Arabic" w:hint="cs"/>
          <w:sz w:val="32"/>
          <w:szCs w:val="32"/>
          <w:rtl/>
          <w:lang w:bidi="ar-DZ"/>
        </w:rPr>
        <w:t xml:space="preserve"> </w:t>
      </w:r>
      <w:r w:rsidR="00F5533E" w:rsidRPr="00F5533E">
        <w:rPr>
          <w:rFonts w:ascii="Traditional Arabic" w:hAnsi="Traditional Arabic" w:cs="Traditional Arabic" w:hint="cs"/>
          <w:sz w:val="24"/>
          <w:szCs w:val="24"/>
          <w:rtl/>
          <w:lang w:bidi="ar-DZ"/>
        </w:rPr>
        <w:t>13</w:t>
      </w:r>
      <w:r>
        <w:rPr>
          <w:rFonts w:ascii="Traditional Arabic" w:hAnsi="Traditional Arabic" w:cs="Traditional Arabic" w:hint="cs"/>
          <w:sz w:val="32"/>
          <w:szCs w:val="32"/>
          <w:rtl/>
          <w:lang w:bidi="ar-DZ"/>
        </w:rPr>
        <w:t>: معدل نمو</w:t>
      </w:r>
      <w:r w:rsidRPr="0030134E">
        <w:rPr>
          <w:rFonts w:ascii="Traditional Arabic" w:hAnsi="Traditional Arabic" w:cs="Traditional Arabic"/>
          <w:sz w:val="32"/>
          <w:szCs w:val="32"/>
          <w:rtl/>
          <w:lang w:bidi="ar-DZ"/>
        </w:rPr>
        <w:t xml:space="preserve">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في الاقتصاديات النامية</w:t>
      </w:r>
      <w:r w:rsidR="00C94343" w:rsidRPr="00C94343">
        <w:rPr>
          <w:rFonts w:ascii="Traditional Arabic" w:hAnsi="Traditional Arabic" w:cs="Traditional Arabic" w:hint="cs"/>
          <w:sz w:val="32"/>
          <w:szCs w:val="32"/>
          <w:rtl/>
          <w:lang w:bidi="ar-DZ"/>
        </w:rPr>
        <w:t xml:space="preserve"> </w:t>
      </w:r>
      <w:r w:rsidR="00C94343">
        <w:rPr>
          <w:rFonts w:ascii="Traditional Arabic" w:hAnsi="Traditional Arabic" w:cs="Traditional Arabic" w:hint="cs"/>
          <w:sz w:val="32"/>
          <w:szCs w:val="32"/>
          <w:rtl/>
          <w:lang w:bidi="ar-DZ"/>
        </w:rPr>
        <w:t xml:space="preserve">خلال الفترة </w:t>
      </w:r>
      <w:r w:rsidR="00C94343" w:rsidRPr="005D6EEF">
        <w:rPr>
          <w:rFonts w:ascii="Traditional Arabic" w:hAnsi="Traditional Arabic" w:cs="Traditional Arabic" w:hint="cs"/>
          <w:sz w:val="24"/>
          <w:szCs w:val="24"/>
          <w:rtl/>
          <w:lang w:bidi="ar-DZ"/>
        </w:rPr>
        <w:t>2007-2009</w:t>
      </w:r>
    </w:p>
    <w:tbl>
      <w:tblPr>
        <w:tblStyle w:val="Grilledutableau"/>
        <w:bidiVisual/>
        <w:tblW w:w="0" w:type="auto"/>
        <w:jc w:val="center"/>
        <w:tblInd w:w="108" w:type="dxa"/>
        <w:tblLook w:val="04A0"/>
      </w:tblPr>
      <w:tblGrid>
        <w:gridCol w:w="3335"/>
        <w:gridCol w:w="1795"/>
        <w:gridCol w:w="1795"/>
        <w:gridCol w:w="1795"/>
      </w:tblGrid>
      <w:tr w:rsidR="00CF4CFE" w:rsidRPr="00942E52" w:rsidTr="0067613E">
        <w:trPr>
          <w:trHeight w:val="414"/>
          <w:jc w:val="center"/>
        </w:trPr>
        <w:tc>
          <w:tcPr>
            <w:tcW w:w="3335" w:type="dxa"/>
            <w:vMerge w:val="restart"/>
            <w:vAlign w:val="center"/>
          </w:tcPr>
          <w:p w:rsidR="00CF4CFE" w:rsidRPr="00A327FA" w:rsidRDefault="00CF4CFE" w:rsidP="0041055F">
            <w:pPr>
              <w:bidi/>
              <w:jc w:val="center"/>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الدول ومجموعات الدول</w:t>
            </w:r>
          </w:p>
        </w:tc>
        <w:tc>
          <w:tcPr>
            <w:tcW w:w="5385" w:type="dxa"/>
            <w:gridSpan w:val="3"/>
          </w:tcPr>
          <w:p w:rsidR="00CF4CFE" w:rsidRPr="00A327FA" w:rsidRDefault="00CF4CFE" w:rsidP="0041055F">
            <w:pPr>
              <w:bidi/>
              <w:jc w:val="center"/>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معدلات النمو</w:t>
            </w:r>
          </w:p>
        </w:tc>
      </w:tr>
      <w:tr w:rsidR="00CF4CFE" w:rsidRPr="00942E52" w:rsidTr="0067613E">
        <w:trPr>
          <w:trHeight w:val="414"/>
          <w:jc w:val="center"/>
        </w:trPr>
        <w:tc>
          <w:tcPr>
            <w:tcW w:w="3335" w:type="dxa"/>
            <w:vMerge/>
          </w:tcPr>
          <w:p w:rsidR="00CF4CFE" w:rsidRPr="00A327FA" w:rsidRDefault="00CF4CFE" w:rsidP="0041055F">
            <w:pPr>
              <w:bidi/>
              <w:rPr>
                <w:rFonts w:ascii="Traditional Arabic" w:hAnsi="Traditional Arabic" w:cs="Traditional Arabic"/>
                <w:sz w:val="28"/>
                <w:szCs w:val="28"/>
                <w:rtl/>
                <w:lang w:bidi="ar-DZ"/>
              </w:rPr>
            </w:pPr>
          </w:p>
        </w:tc>
        <w:tc>
          <w:tcPr>
            <w:tcW w:w="1795"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2007</w:t>
            </w:r>
          </w:p>
        </w:tc>
        <w:tc>
          <w:tcPr>
            <w:tcW w:w="1795"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2008</w:t>
            </w:r>
          </w:p>
        </w:tc>
        <w:tc>
          <w:tcPr>
            <w:tcW w:w="1795" w:type="dxa"/>
            <w:vAlign w:val="center"/>
          </w:tcPr>
          <w:p w:rsidR="00CF4CFE" w:rsidRPr="00942E52" w:rsidRDefault="00CF4CFE" w:rsidP="0041055F">
            <w:pPr>
              <w:bidi/>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2009</w:t>
            </w:r>
          </w:p>
        </w:tc>
      </w:tr>
      <w:tr w:rsidR="00CF4CFE" w:rsidRPr="00942E52" w:rsidTr="0067613E">
        <w:trPr>
          <w:trHeight w:val="414"/>
          <w:jc w:val="center"/>
        </w:trPr>
        <w:tc>
          <w:tcPr>
            <w:tcW w:w="3335" w:type="dxa"/>
          </w:tcPr>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الاقتصاديات النامية</w:t>
            </w:r>
            <w:r>
              <w:rPr>
                <w:rFonts w:ascii="Traditional Arabic" w:hAnsi="Traditional Arabic" w:cs="Traditional Arabic"/>
                <w:sz w:val="28"/>
                <w:szCs w:val="28"/>
                <w:lang w:bidi="ar-DZ"/>
              </w:rPr>
              <w:t xml:space="preserve"> </w:t>
            </w:r>
          </w:p>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أوروبا الوسطى والشرقية</w:t>
            </w:r>
          </w:p>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كومنولث الدول المستقلة</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sz w:val="28"/>
                <w:szCs w:val="28"/>
                <w:lang w:bidi="ar-DZ"/>
              </w:rPr>
              <w:t xml:space="preserve">  </w:t>
            </w:r>
            <w:r w:rsidRPr="00A327FA">
              <w:rPr>
                <w:rFonts w:ascii="Traditional Arabic" w:hAnsi="Traditional Arabic" w:cs="Traditional Arabic"/>
                <w:sz w:val="28"/>
                <w:szCs w:val="28"/>
                <w:rtl/>
                <w:lang w:bidi="ar-DZ"/>
              </w:rPr>
              <w:t>روسيا</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sz w:val="28"/>
                <w:szCs w:val="28"/>
                <w:lang w:bidi="ar-DZ"/>
              </w:rPr>
              <w:t xml:space="preserve">  </w:t>
            </w:r>
            <w:r w:rsidRPr="00A327FA">
              <w:rPr>
                <w:rFonts w:ascii="Traditional Arabic" w:hAnsi="Traditional Arabic" w:cs="Traditional Arabic"/>
                <w:sz w:val="28"/>
                <w:szCs w:val="28"/>
                <w:rtl/>
                <w:lang w:bidi="ar-DZ"/>
              </w:rPr>
              <w:t>باستثناء روسيا</w:t>
            </w:r>
          </w:p>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آسيا النامية</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sz w:val="28"/>
                <w:szCs w:val="28"/>
                <w:lang w:bidi="ar-DZ"/>
              </w:rPr>
              <w:t xml:space="preserve">  </w:t>
            </w:r>
            <w:r w:rsidRPr="00A327FA">
              <w:rPr>
                <w:rFonts w:ascii="Traditional Arabic" w:hAnsi="Traditional Arabic" w:cs="Traditional Arabic"/>
                <w:sz w:val="28"/>
                <w:szCs w:val="28"/>
                <w:rtl/>
                <w:lang w:bidi="ar-DZ"/>
              </w:rPr>
              <w:t>الصين</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sz w:val="28"/>
                <w:szCs w:val="28"/>
                <w:lang w:bidi="ar-DZ"/>
              </w:rPr>
              <w:t xml:space="preserve">  </w:t>
            </w:r>
            <w:r w:rsidRPr="00A327FA">
              <w:rPr>
                <w:rFonts w:ascii="Traditional Arabic" w:hAnsi="Traditional Arabic" w:cs="Traditional Arabic"/>
                <w:sz w:val="28"/>
                <w:szCs w:val="28"/>
                <w:rtl/>
                <w:lang w:bidi="ar-DZ"/>
              </w:rPr>
              <w:t>الهند</w:t>
            </w:r>
          </w:p>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الشرق الأوسط</w:t>
            </w:r>
          </w:p>
          <w:p w:rsidR="00CF4CFE" w:rsidRPr="00A327FA" w:rsidRDefault="00CF4CFE" w:rsidP="0041055F">
            <w:pPr>
              <w:bidi/>
              <w:rPr>
                <w:rFonts w:ascii="Traditional Arabic" w:hAnsi="Traditional Arabic" w:cs="Traditional Arabic"/>
                <w:sz w:val="28"/>
                <w:szCs w:val="28"/>
                <w:rtl/>
                <w:lang w:bidi="ar-DZ"/>
              </w:rPr>
            </w:pPr>
            <w:r w:rsidRPr="00A327FA">
              <w:rPr>
                <w:rFonts w:ascii="Traditional Arabic" w:hAnsi="Traditional Arabic" w:cs="Traditional Arabic"/>
                <w:sz w:val="28"/>
                <w:szCs w:val="28"/>
                <w:rtl/>
                <w:lang w:bidi="ar-DZ"/>
              </w:rPr>
              <w:t>نصف الكرة الغربي</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 xml:space="preserve">البرازيل </w:t>
            </w:r>
          </w:p>
          <w:p w:rsidR="00CF4CFE"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Pr="00A327FA">
              <w:rPr>
                <w:rFonts w:ascii="Traditional Arabic" w:hAnsi="Traditional Arabic" w:cs="Traditional Arabic"/>
                <w:sz w:val="28"/>
                <w:szCs w:val="28"/>
                <w:rtl/>
                <w:lang w:bidi="ar-DZ"/>
              </w:rPr>
              <w:t>المكسيك</w:t>
            </w:r>
          </w:p>
          <w:p w:rsidR="00CF4CFE" w:rsidRPr="00A327FA" w:rsidRDefault="00CF4CFE" w:rsidP="0041055F">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إفريقيا </w:t>
            </w:r>
          </w:p>
        </w:tc>
        <w:tc>
          <w:tcPr>
            <w:tcW w:w="1795" w:type="dxa"/>
            <w:vAlign w:val="center"/>
          </w:tcPr>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8.3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8.6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8.1</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9.9</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10.6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13.0</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9.4</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6.2</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5.7</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5.7</w:t>
            </w:r>
          </w:p>
          <w:p w:rsidR="00CF4CFE"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6.3</w:t>
            </w:r>
          </w:p>
        </w:tc>
        <w:tc>
          <w:tcPr>
            <w:tcW w:w="1795" w:type="dxa"/>
            <w:vAlign w:val="center"/>
          </w:tcPr>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6.1</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3.1</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7.9</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9.0</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7.3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4.2</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5.1</w:t>
            </w:r>
          </w:p>
          <w:p w:rsidR="00CF4CFE"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1.3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5.2</w:t>
            </w:r>
          </w:p>
        </w:tc>
        <w:tc>
          <w:tcPr>
            <w:tcW w:w="1795" w:type="dxa"/>
            <w:vAlign w:val="center"/>
          </w:tcPr>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2.1</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-4.3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-7.5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-9.0</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-3.9</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6.5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8.5</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5.6</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2.2</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-2.3</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-0.4</w:t>
            </w:r>
          </w:p>
          <w:p w:rsidR="00CF4CFE" w:rsidRDefault="00CF4CFE" w:rsidP="0041055F">
            <w:pPr>
              <w:bidi/>
              <w:spacing w:line="276" w:lineRule="auto"/>
              <w:jc w:val="center"/>
              <w:rPr>
                <w:rFonts w:ascii="Traditional Arabic" w:hAnsi="Traditional Arabic" w:cs="Traditional Arabic"/>
                <w:sz w:val="24"/>
                <w:szCs w:val="24"/>
                <w:rtl/>
                <w:lang w:bidi="ar-DZ"/>
              </w:rPr>
            </w:pPr>
            <w:r w:rsidRPr="00942E52">
              <w:rPr>
                <w:rFonts w:ascii="Traditional Arabic" w:hAnsi="Traditional Arabic" w:cs="Traditional Arabic"/>
                <w:sz w:val="24"/>
                <w:szCs w:val="24"/>
                <w:rtl/>
                <w:lang w:bidi="ar-DZ"/>
              </w:rPr>
              <w:t>-6.8</w:t>
            </w:r>
          </w:p>
          <w:p w:rsidR="00CF4CFE" w:rsidRPr="00942E52" w:rsidRDefault="00CF4CFE" w:rsidP="0041055F">
            <w:pPr>
              <w:bidi/>
              <w:spacing w:line="276" w:lineRule="auto"/>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r>
    </w:tbl>
    <w:p w:rsidR="00CF4CFE" w:rsidRDefault="002925FD" w:rsidP="002925FD">
      <w:pPr>
        <w:tabs>
          <w:tab w:val="right" w:pos="708"/>
        </w:tabs>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 xml:space="preserve">   </w:t>
      </w:r>
      <w:r w:rsidR="00CF4CFE">
        <w:rPr>
          <w:rFonts w:ascii="Traditional Arabic" w:hAnsi="Traditional Arabic" w:cs="Traditional Arabic" w:hint="cs"/>
          <w:sz w:val="28"/>
          <w:szCs w:val="28"/>
          <w:rtl/>
        </w:rPr>
        <w:t>ا</w:t>
      </w:r>
      <w:r w:rsidR="00CF4CFE" w:rsidRPr="00AF1F34">
        <w:rPr>
          <w:rFonts w:ascii="Traditional Arabic" w:hAnsi="Traditional Arabic" w:cs="Traditional Arabic"/>
          <w:sz w:val="28"/>
          <w:szCs w:val="28"/>
          <w:rtl/>
        </w:rPr>
        <w:t>لمصدر: صندوق النقد</w:t>
      </w:r>
      <w:r w:rsidR="00CF4CFE">
        <w:rPr>
          <w:rFonts w:ascii="Traditional Arabic" w:hAnsi="Traditional Arabic" w:cs="Traditional Arabic"/>
          <w:sz w:val="28"/>
          <w:szCs w:val="28"/>
          <w:rtl/>
        </w:rPr>
        <w:t xml:space="preserve"> الدولي:</w:t>
      </w:r>
      <w:r w:rsidR="00CF4CFE">
        <w:rPr>
          <w:rFonts w:ascii="Traditional Arabic" w:hAnsi="Traditional Arabic" w:cs="Traditional Arabic" w:hint="cs"/>
          <w:sz w:val="28"/>
          <w:szCs w:val="28"/>
          <w:rtl/>
        </w:rPr>
        <w:t xml:space="preserve"> </w:t>
      </w:r>
      <w:r w:rsidR="00CF4CFE" w:rsidRPr="00AF1F34">
        <w:rPr>
          <w:rFonts w:ascii="Traditional Arabic" w:hAnsi="Traditional Arabic" w:cs="Traditional Arabic"/>
          <w:sz w:val="28"/>
          <w:szCs w:val="28"/>
          <w:rtl/>
        </w:rPr>
        <w:t>تعاف بسرعات متباينة تدفعه قاطرة السياسات،</w:t>
      </w:r>
      <w:r w:rsidR="00CF4CFE">
        <w:rPr>
          <w:rFonts w:ascii="Traditional Arabic" w:hAnsi="Traditional Arabic" w:cs="Traditional Arabic" w:hint="cs"/>
          <w:sz w:val="28"/>
          <w:szCs w:val="28"/>
          <w:rtl/>
        </w:rPr>
        <w:t xml:space="preserve"> مرجع سابق،</w:t>
      </w:r>
      <w:r w:rsidR="00CF4CFE" w:rsidRPr="00AF1F34">
        <w:rPr>
          <w:rFonts w:ascii="Traditional Arabic" w:hAnsi="Traditional Arabic" w:cs="Traditional Arabic"/>
          <w:sz w:val="28"/>
          <w:szCs w:val="28"/>
          <w:rtl/>
        </w:rPr>
        <w:t xml:space="preserve"> </w:t>
      </w:r>
      <w:r w:rsidR="00CF4CFE">
        <w:rPr>
          <w:rFonts w:ascii="Traditional Arabic" w:hAnsi="Traditional Arabic" w:cs="Traditional Arabic" w:hint="cs"/>
          <w:sz w:val="28"/>
          <w:szCs w:val="28"/>
          <w:rtl/>
        </w:rPr>
        <w:t xml:space="preserve">ص </w:t>
      </w:r>
      <w:r w:rsidR="00CF4CFE" w:rsidRPr="007F0C0A">
        <w:rPr>
          <w:rFonts w:ascii="Traditional Arabic" w:hAnsi="Traditional Arabic" w:cs="Traditional Arabic" w:hint="cs"/>
          <w:rtl/>
        </w:rPr>
        <w:t>2</w:t>
      </w:r>
      <w:r w:rsidR="00CF4CFE">
        <w:rPr>
          <w:rFonts w:ascii="Traditional Arabic" w:hAnsi="Traditional Arabic" w:cs="Traditional Arabic" w:hint="cs"/>
          <w:sz w:val="28"/>
          <w:szCs w:val="28"/>
          <w:rtl/>
        </w:rPr>
        <w:t xml:space="preserve">.  </w:t>
      </w:r>
    </w:p>
    <w:p w:rsidR="00CF4CFE" w:rsidRDefault="00CF4CFE" w:rsidP="002925FD">
      <w:pPr>
        <w:tabs>
          <w:tab w:val="right" w:pos="708"/>
          <w:tab w:val="right" w:pos="850"/>
        </w:tabs>
        <w:bidi/>
        <w:spacing w:after="0" w:line="240" w:lineRule="auto"/>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002925FD">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صندوق النقد الدولي: الحفاظ على التعافي، مرجع سابق، ص </w:t>
      </w:r>
      <w:r w:rsidRPr="00282D27">
        <w:rPr>
          <w:rFonts w:ascii="Traditional Arabic" w:hAnsi="Traditional Arabic" w:cs="Traditional Arabic" w:hint="cs"/>
          <w:rtl/>
        </w:rPr>
        <w:t>169</w:t>
      </w:r>
      <w:r>
        <w:rPr>
          <w:rFonts w:ascii="Traditional Arabic" w:hAnsi="Traditional Arabic" w:cs="Traditional Arabic" w:hint="cs"/>
          <w:sz w:val="28"/>
          <w:szCs w:val="28"/>
          <w:rtl/>
        </w:rPr>
        <w:t xml:space="preserve">.   </w:t>
      </w:r>
    </w:p>
    <w:p w:rsidR="00CF4CFE" w:rsidRPr="002B68E9" w:rsidRDefault="00CF4CFE" w:rsidP="0052693A">
      <w:pPr>
        <w:tabs>
          <w:tab w:val="right" w:pos="708"/>
        </w:tabs>
        <w:bidi/>
        <w:spacing w:line="240" w:lineRule="auto"/>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002925FD">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صندوق النقد الدولي: </w:t>
      </w:r>
      <w:r w:rsidR="0052693A">
        <w:rPr>
          <w:rFonts w:ascii="Traditional Arabic" w:hAnsi="Traditional Arabic" w:cs="Traditional Arabic" w:hint="cs"/>
          <w:sz w:val="28"/>
          <w:szCs w:val="28"/>
          <w:rtl/>
        </w:rPr>
        <w:t>نفس المرجع أعلاه</w:t>
      </w:r>
      <w:r>
        <w:rPr>
          <w:rFonts w:ascii="Traditional Arabic" w:hAnsi="Traditional Arabic" w:cs="Traditional Arabic" w:hint="cs"/>
          <w:sz w:val="28"/>
          <w:szCs w:val="28"/>
          <w:rtl/>
        </w:rPr>
        <w:t xml:space="preserve">، ص ص </w:t>
      </w:r>
      <w:r w:rsidRPr="00A91E71">
        <w:rPr>
          <w:rFonts w:ascii="Traditional Arabic" w:hAnsi="Traditional Arabic" w:cs="Traditional Arabic" w:hint="cs"/>
          <w:rtl/>
        </w:rPr>
        <w:t>174-176</w:t>
      </w:r>
      <w:r>
        <w:rPr>
          <w:rFonts w:ascii="Traditional Arabic" w:hAnsi="Traditional Arabic" w:cs="Traditional Arabic" w:hint="cs"/>
          <w:sz w:val="28"/>
          <w:szCs w:val="28"/>
          <w:rtl/>
        </w:rPr>
        <w:t xml:space="preserve">.    </w:t>
      </w:r>
    </w:p>
    <w:p w:rsidR="00CF4CFE" w:rsidRPr="004633E7"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وتعرضت أمريكا اللاتينية لذات الصدمات الثلاث التي تعرضت لها بلدان كومنولث الدول المستقلة، ولكن الأثر الكلي كان أقل حدة مقارنة بأوروبا نظرا لقوة الميزانيات العمومية في القطاعين العام والخاص نسبيا، ولأن النظم المالية كانت أقل انكشافا من حيث الخصوم للأجهزة المصرفية في البلدان المتقدمة، واستطاع العديد من الاقتصاديات الكبيرة استخدام سعر الصرف كأداة لامتصاص الصدمات. ومع ذلك أسفرت الأزمة المالية عن عمليات بيع مكثفة في أسواق الأسهم في أواخر </w:t>
      </w:r>
      <w:r w:rsidRPr="004633E7">
        <w:rPr>
          <w:rFonts w:ascii="Traditional Arabic" w:hAnsi="Traditional Arabic" w:cs="Traditional Arabic"/>
          <w:sz w:val="24"/>
          <w:szCs w:val="24"/>
          <w:rtl/>
          <w:lang w:bidi="ar-DZ"/>
        </w:rPr>
        <w:t>2008</w:t>
      </w:r>
      <w:r w:rsidRPr="004633E7">
        <w:rPr>
          <w:rFonts w:ascii="Traditional Arabic" w:hAnsi="Traditional Arabic" w:cs="Traditional Arabic"/>
          <w:sz w:val="32"/>
          <w:szCs w:val="32"/>
          <w:rtl/>
          <w:lang w:bidi="ar-DZ"/>
        </w:rPr>
        <w:t xml:space="preserve">، وحدوث ارتفاع حاد في تكاليف التمويل، وزيادة مفاجئة في فروق العائد على ديون الشركات والديون السيادية. كذلك تناقصت التدفقات الرأسمالية في البلدان التي تعتمد نظم الصرف المرنة وانخفضت قيمة عملاتها المحلية انخفاضا حادا. وسرعان ما أعقب ذلك </w:t>
      </w:r>
      <w:r w:rsidRPr="004633E7">
        <w:rPr>
          <w:rFonts w:ascii="Traditional Arabic" w:hAnsi="Traditional Arabic" w:cs="Traditional Arabic"/>
          <w:sz w:val="32"/>
          <w:szCs w:val="32"/>
          <w:rtl/>
          <w:lang w:bidi="ar-DZ"/>
        </w:rPr>
        <w:lastRenderedPageBreak/>
        <w:t>تباطؤ في نمو الائتمان وهبوط في معدلات الإنتاج الصناعي والتصدير. وقد تعرضت بلدان أمريكا الوسطى ومنطقة الكرايبي كذلك لهبوط حاد في إيرادات أنشطة السياحة وتحويلات المغتربين إلى المنطقة</w:t>
      </w:r>
      <w:r w:rsidRPr="004633E7">
        <w:rPr>
          <w:rStyle w:val="Appelnotedebasdep"/>
          <w:rFonts w:ascii="Traditional Arabic" w:hAnsi="Traditional Arabic" w:cs="Traditional Arabic"/>
          <w:sz w:val="32"/>
          <w:szCs w:val="32"/>
          <w:rtl/>
          <w:lang w:bidi="ar-DZ"/>
        </w:rPr>
        <w:footnoteReference w:id="14"/>
      </w:r>
      <w:r w:rsidRPr="004633E7">
        <w:rPr>
          <w:rFonts w:ascii="Traditional Arabic" w:hAnsi="Traditional Arabic" w:cs="Traditional Arabic"/>
          <w:sz w:val="32"/>
          <w:szCs w:val="32"/>
          <w:rtl/>
          <w:lang w:bidi="ar-DZ"/>
        </w:rPr>
        <w:t>.</w:t>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CF4CFE"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hint="cs"/>
          <w:sz w:val="32"/>
          <w:szCs w:val="32"/>
          <w:rtl/>
          <w:lang w:bidi="ar-DZ"/>
        </w:rPr>
        <w:t xml:space="preserve">         كما وضع انكماش النشاط الاقتصادي وانخفاض أسعار السلع الأساسية في دول أمريكا اللاتينية ضغطا كبيرا </w:t>
      </w:r>
      <w:r>
        <w:rPr>
          <w:rFonts w:ascii="Traditional Arabic" w:hAnsi="Traditional Arabic" w:cs="Traditional Arabic" w:hint="cs"/>
          <w:sz w:val="32"/>
          <w:szCs w:val="32"/>
          <w:rtl/>
          <w:lang w:bidi="ar-DZ"/>
        </w:rPr>
        <w:t>على إيرادات الحكومة، فتراجع معدل نمو</w:t>
      </w:r>
      <w:r w:rsidRPr="0030134E">
        <w:rPr>
          <w:rFonts w:ascii="Traditional Arabic" w:hAnsi="Traditional Arabic" w:cs="Traditional Arabic"/>
          <w:sz w:val="32"/>
          <w:szCs w:val="32"/>
          <w:rtl/>
          <w:lang w:bidi="ar-DZ"/>
        </w:rPr>
        <w:t xml:space="preserve">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من </w:t>
      </w:r>
      <w:r>
        <w:rPr>
          <w:rFonts w:ascii="Traditional Arabic" w:hAnsi="Traditional Arabic" w:cs="Traditional Arabic" w:hint="cs"/>
          <w:sz w:val="24"/>
          <w:szCs w:val="24"/>
          <w:rtl/>
          <w:lang w:bidi="ar-DZ"/>
        </w:rPr>
        <w:t>5.7</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Pr>
          <w:rFonts w:ascii="Traditional Arabic" w:hAnsi="Traditional Arabic" w:cs="Traditional Arabic" w:hint="cs"/>
          <w:sz w:val="24"/>
          <w:szCs w:val="24"/>
          <w:rtl/>
          <w:lang w:bidi="ar-DZ"/>
        </w:rPr>
        <w:t>4.2</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2.3</w:t>
      </w:r>
      <w:r w:rsidRPr="00F44F5E">
        <w:rPr>
          <w:rFonts w:ascii="Traditional Arabic" w:hAnsi="Traditional Arabic" w:cs="Traditional Arabic" w:hint="cs"/>
          <w:sz w:val="24"/>
          <w:szCs w:val="24"/>
          <w:rtl/>
          <w:lang w:bidi="ar-DZ"/>
        </w:rPr>
        <w:t>-</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sidRPr="00706259">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مما </w:t>
      </w:r>
      <w:r w:rsidRPr="004633E7">
        <w:rPr>
          <w:rFonts w:ascii="Traditional Arabic" w:hAnsi="Traditional Arabic" w:cs="Traditional Arabic" w:hint="cs"/>
          <w:sz w:val="32"/>
          <w:szCs w:val="32"/>
          <w:rtl/>
          <w:lang w:bidi="ar-DZ"/>
        </w:rPr>
        <w:t xml:space="preserve">جعل من الصعب تخفيض العجز في الميزانية حتى بدون مبادرات جديدة للإنفاق، كما </w:t>
      </w:r>
      <w:r>
        <w:rPr>
          <w:rFonts w:ascii="Traditional Arabic" w:hAnsi="Traditional Arabic" w:cs="Traditional Arabic" w:hint="cs"/>
          <w:sz w:val="32"/>
          <w:szCs w:val="32"/>
          <w:rtl/>
          <w:lang w:bidi="ar-DZ"/>
        </w:rPr>
        <w:t xml:space="preserve">انخفضت </w:t>
      </w:r>
      <w:r w:rsidRPr="004633E7">
        <w:rPr>
          <w:rFonts w:ascii="Traditional Arabic" w:hAnsi="Traditional Arabic" w:cs="Traditional Arabic" w:hint="cs"/>
          <w:sz w:val="32"/>
          <w:szCs w:val="32"/>
          <w:rtl/>
          <w:lang w:bidi="ar-DZ"/>
        </w:rPr>
        <w:t xml:space="preserve">نسبة الإيراد من الناتج المحلي الإجمالي بنحو نقطتين مئويتين في عام </w:t>
      </w:r>
      <w:r w:rsidRPr="004633E7">
        <w:rPr>
          <w:rFonts w:ascii="Traditional Arabic" w:hAnsi="Traditional Arabic" w:cs="Traditional Arabic" w:hint="cs"/>
          <w:sz w:val="24"/>
          <w:szCs w:val="24"/>
          <w:rtl/>
          <w:lang w:bidi="ar-DZ"/>
        </w:rPr>
        <w:t xml:space="preserve">2009 </w:t>
      </w:r>
      <w:r w:rsidRPr="004633E7">
        <w:rPr>
          <w:rFonts w:ascii="Traditional Arabic" w:hAnsi="Traditional Arabic" w:cs="Traditional Arabic" w:hint="cs"/>
          <w:sz w:val="32"/>
          <w:szCs w:val="32"/>
          <w:rtl/>
          <w:lang w:bidi="ar-DZ"/>
        </w:rPr>
        <w:t>(أنظر ال</w:t>
      </w:r>
      <w:r>
        <w:rPr>
          <w:rFonts w:ascii="Traditional Arabic" w:hAnsi="Traditional Arabic" w:cs="Traditional Arabic" w:hint="cs"/>
          <w:sz w:val="32"/>
          <w:szCs w:val="32"/>
          <w:rtl/>
          <w:lang w:bidi="ar-DZ"/>
        </w:rPr>
        <w:t>شكل</w:t>
      </w:r>
      <w:r w:rsidR="00B566B9">
        <w:rPr>
          <w:rFonts w:ascii="Traditional Arabic" w:hAnsi="Traditional Arabic" w:cs="Traditional Arabic" w:hint="cs"/>
          <w:sz w:val="32"/>
          <w:szCs w:val="32"/>
          <w:rtl/>
          <w:lang w:bidi="ar-DZ"/>
        </w:rPr>
        <w:t xml:space="preserve"> رقم </w:t>
      </w:r>
      <w:r w:rsidR="00B566B9" w:rsidRPr="00B566B9">
        <w:rPr>
          <w:rFonts w:ascii="Traditional Arabic" w:hAnsi="Traditional Arabic" w:cs="Traditional Arabic" w:hint="cs"/>
          <w:sz w:val="24"/>
          <w:szCs w:val="24"/>
          <w:rtl/>
          <w:lang w:bidi="ar-DZ"/>
        </w:rPr>
        <w:t>18</w:t>
      </w:r>
      <w:r>
        <w:rPr>
          <w:rFonts w:ascii="Traditional Arabic" w:hAnsi="Traditional Arabic" w:cs="Traditional Arabic" w:hint="cs"/>
          <w:sz w:val="32"/>
          <w:szCs w:val="32"/>
          <w:rtl/>
          <w:lang w:bidi="ar-DZ"/>
        </w:rPr>
        <w:t>)، أما الإيرادات المالية فان</w:t>
      </w:r>
      <w:r w:rsidRPr="004633E7">
        <w:rPr>
          <w:rFonts w:ascii="Traditional Arabic" w:hAnsi="Traditional Arabic" w:cs="Traditional Arabic" w:hint="cs"/>
          <w:sz w:val="32"/>
          <w:szCs w:val="32"/>
          <w:rtl/>
          <w:lang w:bidi="ar-DZ"/>
        </w:rPr>
        <w:t>خفض</w:t>
      </w:r>
      <w:r>
        <w:rPr>
          <w:rFonts w:ascii="Traditional Arabic" w:hAnsi="Traditional Arabic" w:cs="Traditional Arabic" w:hint="cs"/>
          <w:sz w:val="32"/>
          <w:szCs w:val="32"/>
          <w:rtl/>
          <w:lang w:bidi="ar-DZ"/>
        </w:rPr>
        <w:t>ت</w:t>
      </w:r>
      <w:r w:rsidRPr="004633E7">
        <w:rPr>
          <w:rFonts w:ascii="Traditional Arabic" w:hAnsi="Traditional Arabic" w:cs="Traditional Arabic" w:hint="cs"/>
          <w:sz w:val="32"/>
          <w:szCs w:val="32"/>
          <w:rtl/>
          <w:lang w:bidi="ar-DZ"/>
        </w:rPr>
        <w:t xml:space="preserve"> بشكل كبير إلى أدنى من مستوياتها المقدرة على المدى الطويل. وفي الوقت نفسه، فإن بعض من هذه البلدان تقيدها فرص محدودة للحصول على التمويل ومع ذلك لا تزال مستويات ديونها العامة عالية، مما جعل من الصعب توسعها في الاقتراض الحكومي</w:t>
      </w:r>
      <w:r w:rsidRPr="004633E7">
        <w:rPr>
          <w:rStyle w:val="Appelnotedebasdep"/>
          <w:rFonts w:ascii="Traditional Arabic" w:hAnsi="Traditional Arabic" w:cs="Traditional Arabic"/>
          <w:sz w:val="32"/>
          <w:szCs w:val="32"/>
          <w:rtl/>
          <w:lang w:bidi="ar-DZ"/>
        </w:rPr>
        <w:footnoteReference w:id="15"/>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  </w:t>
      </w:r>
    </w:p>
    <w:p w:rsidR="009F79A7" w:rsidRDefault="00CF4CFE" w:rsidP="0067613E">
      <w:pPr>
        <w:tabs>
          <w:tab w:val="right" w:pos="567"/>
        </w:tabs>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الشكل رقم</w:t>
      </w:r>
      <w:r w:rsidR="00BE2D00">
        <w:rPr>
          <w:rFonts w:ascii="Traditional Arabic" w:hAnsi="Traditional Arabic" w:cs="Traditional Arabic" w:hint="cs"/>
          <w:sz w:val="32"/>
          <w:szCs w:val="32"/>
          <w:rtl/>
          <w:lang w:bidi="ar-DZ"/>
        </w:rPr>
        <w:t xml:space="preserve"> </w:t>
      </w:r>
      <w:r w:rsidR="00BE2D00" w:rsidRPr="00B566B9">
        <w:rPr>
          <w:rFonts w:ascii="Traditional Arabic" w:hAnsi="Traditional Arabic" w:cs="Traditional Arabic" w:hint="cs"/>
          <w:sz w:val="24"/>
          <w:szCs w:val="24"/>
          <w:rtl/>
          <w:lang w:bidi="ar-DZ"/>
        </w:rPr>
        <w:t>18</w:t>
      </w:r>
      <w:r>
        <w:rPr>
          <w:rFonts w:ascii="Traditional Arabic" w:hAnsi="Traditional Arabic" w:cs="Traditional Arabic" w:hint="cs"/>
          <w:sz w:val="32"/>
          <w:szCs w:val="32"/>
          <w:rtl/>
          <w:lang w:bidi="ar-DZ"/>
        </w:rPr>
        <w:t>: تغير المالية العامة</w:t>
      </w:r>
      <w:r w:rsidRPr="00477DDB">
        <w:rPr>
          <w:rFonts w:ascii="Traditional Arabic" w:hAnsi="Traditional Arabic" w:cs="Traditional Arabic" w:hint="cs"/>
          <w:sz w:val="32"/>
          <w:szCs w:val="32"/>
          <w:rtl/>
          <w:lang w:bidi="ar-DZ"/>
        </w:rPr>
        <w:t xml:space="preserve"> </w:t>
      </w:r>
      <w:r w:rsidRPr="004633E7">
        <w:rPr>
          <w:rFonts w:ascii="Traditional Arabic" w:hAnsi="Traditional Arabic" w:cs="Traditional Arabic" w:hint="cs"/>
          <w:sz w:val="32"/>
          <w:szCs w:val="32"/>
          <w:rtl/>
          <w:lang w:bidi="ar-DZ"/>
        </w:rPr>
        <w:t>في دول أمريكا اللاتينية</w:t>
      </w:r>
      <w:r w:rsidR="009C06DA" w:rsidRPr="009C06DA">
        <w:rPr>
          <w:rStyle w:val="Appelnotedebasdep"/>
          <w:rFonts w:ascii="Traditional Arabic" w:hAnsi="Traditional Arabic" w:cs="Traditional Arabic"/>
          <w:sz w:val="32"/>
          <w:szCs w:val="32"/>
          <w:lang w:bidi="ar-DZ"/>
        </w:rPr>
        <w:footnoteReference w:customMarkFollows="1" w:id="16"/>
        <w:sym w:font="Symbol" w:char="F02A"/>
      </w:r>
      <w:r w:rsidR="009F79A7">
        <w:rPr>
          <w:rFonts w:ascii="Traditional Arabic" w:hAnsi="Traditional Arabic" w:cs="Traditional Arabic" w:hint="cs"/>
          <w:sz w:val="32"/>
          <w:szCs w:val="32"/>
          <w:rtl/>
          <w:lang w:bidi="ar-DZ"/>
        </w:rPr>
        <w:t xml:space="preserve"> خلال الفترة </w:t>
      </w:r>
      <w:r w:rsidR="009F79A7" w:rsidRPr="009F79A7">
        <w:rPr>
          <w:rFonts w:ascii="Traditional Arabic" w:hAnsi="Traditional Arabic" w:cs="Traditional Arabic" w:hint="cs"/>
          <w:sz w:val="24"/>
          <w:szCs w:val="24"/>
          <w:rtl/>
          <w:lang w:bidi="ar-DZ"/>
        </w:rPr>
        <w:t>2003-2009</w:t>
      </w:r>
    </w:p>
    <w:p w:rsidR="00CF4CFE" w:rsidRDefault="00745183" w:rsidP="009F79A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rPr>
        <w:pict>
          <v:rect id="_x0000_s1116" style="position:absolute;left:0;text-align:left;margin-left:49.4pt;margin-top:30.85pt;width:27.85pt;height:185.35pt;z-index:251706368" fillcolor="white [3212]" strokecolor="white [3212]">
            <v:textbox style="mso-next-textbox:#_x0000_s1116">
              <w:txbxContent>
                <w:p w:rsidR="00205648" w:rsidRPr="003B5D06" w:rsidRDefault="00205648" w:rsidP="00CF4CFE">
                  <w:pPr>
                    <w:spacing w:line="480" w:lineRule="auto"/>
                    <w:rPr>
                      <w:rFonts w:asciiTheme="majorBidi" w:hAnsiTheme="majorBidi" w:cstheme="majorBidi"/>
                      <w:sz w:val="20"/>
                      <w:szCs w:val="20"/>
                      <w:rtl/>
                      <w:lang w:bidi="ar-DZ"/>
                    </w:rPr>
                  </w:pPr>
                  <w:r w:rsidRPr="003B5D06">
                    <w:rPr>
                      <w:rFonts w:asciiTheme="majorBidi" w:hAnsiTheme="majorBidi" w:cstheme="majorBidi"/>
                      <w:sz w:val="20"/>
                      <w:szCs w:val="20"/>
                      <w:rtl/>
                      <w:lang w:bidi="ar-DZ"/>
                    </w:rPr>
                    <w:t>28</w:t>
                  </w:r>
                </w:p>
                <w:p w:rsidR="00205648" w:rsidRPr="003B5D06" w:rsidRDefault="00205648" w:rsidP="00CF4CFE">
                  <w:pPr>
                    <w:spacing w:line="480" w:lineRule="auto"/>
                    <w:rPr>
                      <w:rFonts w:asciiTheme="majorBidi" w:hAnsiTheme="majorBidi" w:cstheme="majorBidi"/>
                      <w:sz w:val="20"/>
                      <w:szCs w:val="20"/>
                      <w:rtl/>
                      <w:lang w:bidi="ar-DZ"/>
                    </w:rPr>
                  </w:pPr>
                  <w:r w:rsidRPr="003B5D06">
                    <w:rPr>
                      <w:rFonts w:asciiTheme="majorBidi" w:hAnsiTheme="majorBidi" w:cstheme="majorBidi"/>
                      <w:sz w:val="20"/>
                      <w:szCs w:val="20"/>
                      <w:rtl/>
                      <w:lang w:bidi="ar-DZ"/>
                    </w:rPr>
                    <w:t>27</w:t>
                  </w:r>
                </w:p>
                <w:p w:rsidR="00205648" w:rsidRPr="003B5D06" w:rsidRDefault="00205648" w:rsidP="00CF4CFE">
                  <w:pPr>
                    <w:spacing w:line="480" w:lineRule="auto"/>
                    <w:rPr>
                      <w:rFonts w:asciiTheme="majorBidi" w:hAnsiTheme="majorBidi" w:cstheme="majorBidi"/>
                      <w:sz w:val="20"/>
                      <w:szCs w:val="20"/>
                      <w:rtl/>
                      <w:lang w:bidi="ar-DZ"/>
                    </w:rPr>
                  </w:pPr>
                  <w:r w:rsidRPr="003B5D06">
                    <w:rPr>
                      <w:rFonts w:asciiTheme="majorBidi" w:hAnsiTheme="majorBidi" w:cstheme="majorBidi"/>
                      <w:sz w:val="20"/>
                      <w:szCs w:val="20"/>
                      <w:rtl/>
                      <w:lang w:bidi="ar-DZ"/>
                    </w:rPr>
                    <w:t>26</w:t>
                  </w:r>
                </w:p>
                <w:p w:rsidR="00205648" w:rsidRPr="003B5D06" w:rsidRDefault="00205648" w:rsidP="00CF4CFE">
                  <w:pPr>
                    <w:spacing w:line="480" w:lineRule="auto"/>
                    <w:rPr>
                      <w:rFonts w:asciiTheme="majorBidi" w:hAnsiTheme="majorBidi" w:cstheme="majorBidi"/>
                      <w:sz w:val="20"/>
                      <w:szCs w:val="20"/>
                      <w:rtl/>
                      <w:lang w:bidi="ar-DZ"/>
                    </w:rPr>
                  </w:pPr>
                  <w:r w:rsidRPr="003B5D06">
                    <w:rPr>
                      <w:rFonts w:asciiTheme="majorBidi" w:hAnsiTheme="majorBidi" w:cstheme="majorBidi"/>
                      <w:sz w:val="20"/>
                      <w:szCs w:val="20"/>
                      <w:rtl/>
                      <w:lang w:bidi="ar-DZ"/>
                    </w:rPr>
                    <w:t>25</w:t>
                  </w:r>
                </w:p>
                <w:p w:rsidR="00205648" w:rsidRPr="003B5D06" w:rsidRDefault="00205648" w:rsidP="00CF4CFE">
                  <w:pPr>
                    <w:spacing w:line="480" w:lineRule="auto"/>
                    <w:rPr>
                      <w:rFonts w:asciiTheme="majorBidi" w:hAnsiTheme="majorBidi" w:cstheme="majorBidi"/>
                      <w:sz w:val="20"/>
                      <w:szCs w:val="20"/>
                      <w:rtl/>
                      <w:lang w:bidi="ar-DZ"/>
                    </w:rPr>
                  </w:pPr>
                  <w:r w:rsidRPr="003B5D06">
                    <w:rPr>
                      <w:rFonts w:asciiTheme="majorBidi" w:hAnsiTheme="majorBidi" w:cstheme="majorBidi"/>
                      <w:sz w:val="20"/>
                      <w:szCs w:val="20"/>
                      <w:rtl/>
                      <w:lang w:bidi="ar-DZ"/>
                    </w:rPr>
                    <w:t>24</w:t>
                  </w:r>
                </w:p>
                <w:p w:rsidR="00205648" w:rsidRPr="003B5D06" w:rsidRDefault="00205648" w:rsidP="00CF4CFE">
                  <w:pPr>
                    <w:spacing w:after="0" w:line="480" w:lineRule="auto"/>
                    <w:rPr>
                      <w:rFonts w:asciiTheme="majorBidi" w:hAnsiTheme="majorBidi" w:cstheme="majorBidi"/>
                      <w:sz w:val="16"/>
                      <w:szCs w:val="16"/>
                      <w:lang w:bidi="ar-DZ"/>
                    </w:rPr>
                  </w:pPr>
                  <w:r w:rsidRPr="003B5D06">
                    <w:rPr>
                      <w:rFonts w:asciiTheme="majorBidi" w:hAnsiTheme="majorBidi" w:cstheme="majorBidi"/>
                      <w:sz w:val="20"/>
                      <w:szCs w:val="20"/>
                      <w:rtl/>
                      <w:lang w:bidi="ar-DZ"/>
                    </w:rPr>
                    <w:t>23</w:t>
                  </w:r>
                </w:p>
              </w:txbxContent>
            </v:textbox>
          </v:rect>
        </w:pict>
      </w:r>
      <w:r w:rsidR="00BE2D00" w:rsidRPr="009F79A7">
        <w:rPr>
          <w:rFonts w:ascii="Traditional Arabic" w:hAnsi="Traditional Arabic" w:cs="Traditional Arabic" w:hint="cs"/>
          <w:sz w:val="32"/>
          <w:szCs w:val="32"/>
          <w:rtl/>
          <w:lang w:bidi="ar-DZ"/>
        </w:rPr>
        <w:t xml:space="preserve">  </w:t>
      </w:r>
      <w:r w:rsidR="00CF4CFE" w:rsidRPr="009F79A7">
        <w:rPr>
          <w:rFonts w:ascii="Traditional Arabic" w:hAnsi="Traditional Arabic" w:cs="Traditional Arabic" w:hint="cs"/>
          <w:sz w:val="32"/>
          <w:szCs w:val="32"/>
          <w:rtl/>
          <w:lang w:bidi="ar-DZ"/>
        </w:rPr>
        <w:t xml:space="preserve">       </w:t>
      </w:r>
      <w:r w:rsidR="009F79A7">
        <w:rPr>
          <w:rFonts w:ascii="Traditional Arabic" w:hAnsi="Traditional Arabic" w:cs="Traditional Arabic" w:hint="cs"/>
          <w:sz w:val="32"/>
          <w:szCs w:val="32"/>
          <w:rtl/>
          <w:lang w:bidi="ar-DZ"/>
        </w:rPr>
        <w:t xml:space="preserve">                      </w:t>
      </w:r>
      <w:r w:rsidR="004458C9">
        <w:rPr>
          <w:rFonts w:ascii="Traditional Arabic" w:hAnsi="Traditional Arabic" w:cs="Traditional Arabic" w:hint="cs"/>
          <w:sz w:val="32"/>
          <w:szCs w:val="32"/>
          <w:rtl/>
          <w:lang w:bidi="ar-DZ"/>
        </w:rPr>
        <w:t xml:space="preserve">                                                </w:t>
      </w:r>
      <w:r w:rsidR="00CF4CFE" w:rsidRPr="009F79A7">
        <w:rPr>
          <w:rFonts w:ascii="Traditional Arabic" w:hAnsi="Traditional Arabic" w:cs="Traditional Arabic" w:hint="cs"/>
          <w:sz w:val="32"/>
          <w:szCs w:val="32"/>
          <w:rtl/>
          <w:lang w:bidi="ar-DZ"/>
        </w:rPr>
        <w:t xml:space="preserve">  </w:t>
      </w:r>
      <w:r w:rsidR="00CF4CFE">
        <w:rPr>
          <w:rFonts w:ascii="Traditional Arabic" w:hAnsi="Traditional Arabic" w:cs="Traditional Arabic" w:hint="cs"/>
          <w:sz w:val="32"/>
          <w:szCs w:val="32"/>
          <w:rtl/>
          <w:lang w:bidi="ar-DZ"/>
        </w:rPr>
        <w:t>(</w:t>
      </w:r>
      <w:r w:rsidR="00CF4CFE" w:rsidRPr="00BE2D00">
        <w:rPr>
          <w:rFonts w:ascii="Traditional Arabic" w:hAnsi="Traditional Arabic" w:cs="Traditional Arabic" w:hint="cs"/>
          <w:sz w:val="28"/>
          <w:szCs w:val="28"/>
          <w:rtl/>
          <w:lang w:bidi="ar-DZ"/>
        </w:rPr>
        <w:t>نسبة مؤوية من الناتج المحلي الإجمالي</w:t>
      </w:r>
      <w:r w:rsidR="00CF4CFE">
        <w:rPr>
          <w:rFonts w:ascii="Traditional Arabic" w:hAnsi="Traditional Arabic" w:cs="Traditional Arabic" w:hint="cs"/>
          <w:sz w:val="24"/>
          <w:szCs w:val="24"/>
          <w:rtl/>
          <w:lang w:bidi="ar-DZ"/>
        </w:rPr>
        <w:t>)</w:t>
      </w:r>
    </w:p>
    <w:p w:rsidR="00CF4CFE" w:rsidRPr="0026109B" w:rsidRDefault="00CF4CFE" w:rsidP="00CF4CFE">
      <w:pPr>
        <w:tabs>
          <w:tab w:val="left" w:pos="3825"/>
        </w:tabs>
        <w:bidi/>
        <w:spacing w:after="0"/>
        <w:jc w:val="center"/>
        <w:rPr>
          <w:rFonts w:ascii="Traditional Arabic" w:hAnsi="Traditional Arabic" w:cs="Traditional Arabic"/>
          <w:sz w:val="32"/>
          <w:szCs w:val="32"/>
          <w:rtl/>
          <w:lang w:bidi="ar-DZ"/>
        </w:rPr>
      </w:pPr>
      <w:r>
        <w:rPr>
          <w:rFonts w:ascii="Traditional Arabic" w:hAnsi="Traditional Arabic" w:cs="Traditional Arabic"/>
          <w:noProof/>
          <w:sz w:val="32"/>
          <w:szCs w:val="32"/>
        </w:rPr>
        <w:drawing>
          <wp:inline distT="0" distB="0" distL="0" distR="0">
            <wp:extent cx="3691418" cy="2122998"/>
            <wp:effectExtent l="19050" t="0" r="4282"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694783" cy="2124934"/>
                    </a:xfrm>
                    <a:prstGeom prst="rect">
                      <a:avLst/>
                    </a:prstGeom>
                    <a:noFill/>
                    <a:ln w="9525">
                      <a:noFill/>
                      <a:miter lim="800000"/>
                      <a:headEnd/>
                      <a:tailEnd/>
                    </a:ln>
                  </pic:spPr>
                </pic:pic>
              </a:graphicData>
            </a:graphic>
          </wp:inline>
        </w:drawing>
      </w:r>
    </w:p>
    <w:p w:rsidR="00CF4CFE" w:rsidRPr="003651AA" w:rsidRDefault="00CF4CFE" w:rsidP="00CF4CFE">
      <w:pPr>
        <w:tabs>
          <w:tab w:val="right" w:pos="567"/>
          <w:tab w:val="left" w:pos="1496"/>
          <w:tab w:val="left" w:pos="1984"/>
          <w:tab w:val="center" w:pos="4536"/>
        </w:tabs>
        <w:bidi/>
        <w:spacing w:after="0"/>
        <w:rPr>
          <w:rFonts w:ascii="Traditional Arabic" w:hAnsi="Traditional Arabic" w:cs="Traditional Arabic"/>
          <w:sz w:val="20"/>
          <w:szCs w:val="20"/>
          <w:rtl/>
          <w:lang w:bidi="ar-DZ"/>
        </w:rPr>
      </w:pPr>
      <w:r w:rsidRPr="003651AA">
        <w:rPr>
          <w:rFonts w:ascii="Traditional Arabic" w:hAnsi="Traditional Arabic" w:cs="Traditional Arabic"/>
          <w:sz w:val="20"/>
          <w:szCs w:val="20"/>
          <w:rtl/>
          <w:lang w:bidi="ar-DZ"/>
        </w:rPr>
        <w:tab/>
      </w:r>
      <w:r w:rsidRPr="003651AA">
        <w:rPr>
          <w:rFonts w:ascii="Traditional Arabic" w:hAnsi="Traditional Arabic" w:cs="Traditional Arabic" w:hint="cs"/>
          <w:sz w:val="20"/>
          <w:szCs w:val="20"/>
          <w:rtl/>
          <w:lang w:bidi="ar-DZ"/>
        </w:rPr>
        <w:t xml:space="preserve">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2009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2008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2007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2006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2005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2004 </w:t>
      </w:r>
      <w:r>
        <w:rPr>
          <w:rFonts w:ascii="Traditional Arabic" w:hAnsi="Traditional Arabic" w:cs="Traditional Arabic" w:hint="cs"/>
          <w:sz w:val="20"/>
          <w:szCs w:val="20"/>
          <w:rtl/>
          <w:lang w:bidi="ar-DZ"/>
        </w:rPr>
        <w:t xml:space="preserve"> </w:t>
      </w:r>
      <w:r w:rsidRPr="003651AA">
        <w:rPr>
          <w:rFonts w:ascii="Traditional Arabic" w:hAnsi="Traditional Arabic" w:cs="Traditional Arabic" w:hint="cs"/>
          <w:sz w:val="20"/>
          <w:szCs w:val="20"/>
          <w:rtl/>
          <w:lang w:bidi="ar-DZ"/>
        </w:rPr>
        <w:t xml:space="preserve">     2003  </w:t>
      </w:r>
    </w:p>
    <w:p w:rsidR="00CF4CFE" w:rsidRDefault="00CF4CFE" w:rsidP="0032084E">
      <w:pPr>
        <w:tabs>
          <w:tab w:val="right" w:pos="567"/>
          <w:tab w:val="left" w:pos="7757"/>
        </w:tabs>
        <w:bidi/>
        <w:jc w:val="center"/>
        <w:rPr>
          <w:rFonts w:ascii="Traditional Arabic" w:hAnsi="Traditional Arabic" w:cs="Traditional Arabic"/>
          <w:sz w:val="28"/>
          <w:szCs w:val="28"/>
          <w:rtl/>
          <w:lang w:bidi="ar-DZ"/>
        </w:rPr>
      </w:pPr>
      <w:r w:rsidRPr="00DE1238">
        <w:rPr>
          <w:rFonts w:ascii="Traditional Arabic" w:hAnsi="Traditional Arabic" w:cs="Traditional Arabic" w:hint="cs"/>
          <w:sz w:val="28"/>
          <w:szCs w:val="28"/>
          <w:rtl/>
          <w:lang w:bidi="ar-DZ"/>
        </w:rPr>
        <w:t xml:space="preserve">المصدر: </w:t>
      </w:r>
      <w:r w:rsidRPr="00DE1238">
        <w:rPr>
          <w:rFonts w:ascii="Traditional Arabic" w:hAnsi="Traditional Arabic" w:cs="Traditional Arabic"/>
          <w:sz w:val="28"/>
          <w:szCs w:val="28"/>
          <w:rtl/>
          <w:lang w:bidi="ar-DZ"/>
        </w:rPr>
        <w:t>نيكولاس ايزاجويرى، بنديكت كليمنتس، جورج كاناليس كريلينكو:</w:t>
      </w:r>
      <w:r w:rsidRPr="00DE1238">
        <w:rPr>
          <w:rFonts w:ascii="Traditional Arabic" w:hAnsi="Traditional Arabic" w:cs="Traditional Arabic" w:hint="cs"/>
          <w:sz w:val="28"/>
          <w:szCs w:val="28"/>
          <w:rtl/>
          <w:lang w:bidi="ar-DZ"/>
        </w:rPr>
        <w:t xml:space="preserve"> مرجع سابق، ص </w:t>
      </w:r>
      <w:r w:rsidRPr="00DE1238">
        <w:rPr>
          <w:rFonts w:ascii="Traditional Arabic" w:hAnsi="Traditional Arabic" w:cs="Traditional Arabic" w:hint="cs"/>
          <w:rtl/>
          <w:lang w:bidi="ar-DZ"/>
        </w:rPr>
        <w:t>48</w:t>
      </w:r>
      <w:r w:rsidRPr="00DE1238">
        <w:rPr>
          <w:rFonts w:ascii="Traditional Arabic" w:hAnsi="Traditional Arabic" w:cs="Traditional Arabic" w:hint="cs"/>
          <w:sz w:val="28"/>
          <w:szCs w:val="28"/>
          <w:rtl/>
          <w:lang w:bidi="ar-DZ"/>
        </w:rPr>
        <w:t>.</w:t>
      </w:r>
    </w:p>
    <w:p w:rsidR="00772B45" w:rsidRPr="00DE1238" w:rsidRDefault="00772B45" w:rsidP="00772B45">
      <w:pPr>
        <w:tabs>
          <w:tab w:val="right" w:pos="567"/>
          <w:tab w:val="left" w:pos="7757"/>
        </w:tabs>
        <w:bidi/>
        <w:rPr>
          <w:rFonts w:ascii="Traditional Arabic" w:hAnsi="Traditional Arabic" w:cs="Traditional Arabic"/>
          <w:sz w:val="28"/>
          <w:szCs w:val="28"/>
          <w:rtl/>
          <w:lang w:bidi="ar-DZ"/>
        </w:rPr>
      </w:pPr>
    </w:p>
    <w:p w:rsidR="00772B45" w:rsidRDefault="00CF4CFE" w:rsidP="009832D3">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lastRenderedPageBreak/>
        <w:t xml:space="preserve">  </w:t>
      </w:r>
      <w:r w:rsidRPr="004633E7">
        <w:rPr>
          <w:rFonts w:ascii="Traditional Arabic" w:hAnsi="Traditional Arabic" w:cs="Traditional Arabic" w:hint="cs"/>
          <w:sz w:val="32"/>
          <w:szCs w:val="32"/>
          <w:rtl/>
          <w:lang w:bidi="ar-DZ"/>
        </w:rPr>
        <w:t xml:space="preserve">     وبدت دول آسيا الناشئة في وضع أفضل لمواجهة الأزمة المالية العالمية، وذلك بفضل احتياطاتها الرسمية الواقية وأطر سياساتها المحسنة والميزانيات العمومية القوية لقطاعي الشركات والمصارف، ولكن مع انهيار مصرف ليمان برادرز في منتصف سبتمبر وما أعقب ذلك من زيادة في النفور من المخاطر العالمية، أدى ذلك إلى امتداد الأزمة إليها وأثرت الاضطرابات في الكثير من أسواقها. كما تميل نظمها المالية بعدم الانخراط في الأنشطة الخارجة عن الموازنات العمومية أو الاستثمار في الأصول المورقة غير السائلة التي تشكل لب الأزمة في الاقتصاديا</w:t>
      </w:r>
      <w:r w:rsidRPr="004633E7">
        <w:rPr>
          <w:rFonts w:ascii="Traditional Arabic" w:hAnsi="Traditional Arabic" w:cs="Traditional Arabic" w:hint="eastAsia"/>
          <w:sz w:val="32"/>
          <w:szCs w:val="32"/>
          <w:rtl/>
          <w:lang w:bidi="ar-DZ"/>
        </w:rPr>
        <w:t>ت</w:t>
      </w:r>
      <w:r w:rsidRPr="004633E7">
        <w:rPr>
          <w:rFonts w:ascii="Traditional Arabic" w:hAnsi="Traditional Arabic" w:cs="Traditional Arabic" w:hint="cs"/>
          <w:sz w:val="32"/>
          <w:szCs w:val="32"/>
          <w:rtl/>
          <w:lang w:bidi="ar-DZ"/>
        </w:rPr>
        <w:t xml:space="preserve"> المتقدمة، فتعرض مؤسساتها المالية لمخاطر الرهونات دون الممتازة في الولايات المتحدة الأمريكية ومنتجات الائتمان المهيكلة من خارج البلاد محدود، وهو ما يعزى إلى حد ما إلى الإدارة الأشد حذرا للمخاطر. غير أن تكامل الإقليم مع بقية العالم تجاريا وماليا، ومع ركود الاقتصاد العالمي، فقد دفع بأسعار الأوراق المالية إلى الانخفاض بحدة، وكانت صناديق التحوط المركزة على آسيا الناشئة من بين أسوأ الصناديق أداء</w:t>
      </w:r>
      <w:r>
        <w:rPr>
          <w:rFonts w:ascii="Traditional Arabic" w:hAnsi="Traditional Arabic" w:cs="Traditional Arabic" w:hint="cs"/>
          <w:sz w:val="32"/>
          <w:szCs w:val="32"/>
          <w:rtl/>
          <w:lang w:bidi="ar-DZ"/>
        </w:rPr>
        <w:t>ا</w:t>
      </w:r>
      <w:r w:rsidRPr="004633E7">
        <w:rPr>
          <w:rFonts w:ascii="Traditional Arabic" w:hAnsi="Traditional Arabic" w:cs="Traditional Arabic" w:hint="cs"/>
          <w:sz w:val="32"/>
          <w:szCs w:val="32"/>
          <w:rtl/>
          <w:lang w:bidi="ar-DZ"/>
        </w:rPr>
        <w:t xml:space="preserve"> على نطاق العالم مع انخفاض عوائدها بشكل مستمر إلى ما هو أدنى من صناديق الأسواق الناشئة الأخرى. كما أضعفت تدفقات رؤوس الأموال إلى الخارج من العملات في بعض البلدان، وبخاصة الهند وكوريا الجنوبية ونيوزلندا وفيتنام، واستجابت بلدان عديدة لذلك بالتدخل لدعم عملاتها. ومع زيادة النفور العالمي من المخاطر، وجدت الحكومات والشركات والمؤسسات المالية أن الوصول إلى الأسواق المالية العالمية أصبح أكثر صعوبة، وشهدت البلدان التي لديها نظم مصرفية تعتمد بدرجة أكبر على تمويل الجملة وعلى ودائع التجزئة بدرجة أقل (أستراليا، الهند، كوريا الجنوبية، نيوزلندا) ارتفاعا أكبر في تكاليف الاقتراض، بسبب الخوف من أن تواجه صعوبات في تمديد آجال ديونها، ونتيجة لهذه الشروط المتشددة، انخفض التمويل الخارجي الخاص بشكل حاد</w:t>
      </w:r>
      <w:r w:rsidRPr="004633E7">
        <w:rPr>
          <w:rStyle w:val="Appelnotedebasdep"/>
          <w:rFonts w:ascii="Traditional Arabic" w:hAnsi="Traditional Arabic" w:cs="Traditional Arabic"/>
          <w:sz w:val="32"/>
          <w:szCs w:val="32"/>
          <w:rtl/>
          <w:lang w:bidi="ar-DZ"/>
        </w:rPr>
        <w:footnoteReference w:id="17"/>
      </w:r>
      <w:r>
        <w:rPr>
          <w:rFonts w:ascii="Traditional Arabic" w:hAnsi="Traditional Arabic" w:cs="Traditional Arabic" w:hint="cs"/>
          <w:sz w:val="32"/>
          <w:szCs w:val="32"/>
          <w:rtl/>
          <w:lang w:bidi="ar-DZ"/>
        </w:rPr>
        <w:t>، كما انكمش معدل نمو</w:t>
      </w:r>
      <w:r w:rsidRPr="0030134E">
        <w:rPr>
          <w:rFonts w:ascii="Traditional Arabic" w:hAnsi="Traditional Arabic" w:cs="Traditional Arabic"/>
          <w:sz w:val="32"/>
          <w:szCs w:val="32"/>
          <w:rtl/>
          <w:lang w:bidi="ar-DZ"/>
        </w:rPr>
        <w:t xml:space="preserve">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من </w:t>
      </w:r>
      <w:r>
        <w:rPr>
          <w:rFonts w:ascii="Traditional Arabic" w:hAnsi="Traditional Arabic" w:cs="Traditional Arabic" w:hint="cs"/>
          <w:sz w:val="24"/>
          <w:szCs w:val="24"/>
          <w:rtl/>
          <w:lang w:bidi="ar-DZ"/>
        </w:rPr>
        <w:t>10.6</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Pr>
          <w:rFonts w:ascii="Traditional Arabic" w:hAnsi="Traditional Arabic" w:cs="Traditional Arabic" w:hint="cs"/>
          <w:sz w:val="24"/>
          <w:szCs w:val="24"/>
          <w:rtl/>
          <w:lang w:bidi="ar-DZ"/>
        </w:rPr>
        <w:t>7.9</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6.5</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Pr>
          <w:rFonts w:ascii="Traditional Arabic" w:hAnsi="Traditional Arabic" w:cs="Traditional Arabic" w:hint="cs"/>
          <w:sz w:val="32"/>
          <w:szCs w:val="32"/>
          <w:rtl/>
          <w:lang w:bidi="ar-DZ"/>
        </w:rPr>
        <w:t xml:space="preserve">.   </w:t>
      </w:r>
    </w:p>
    <w:p w:rsidR="00772B45" w:rsidRDefault="00772B45" w:rsidP="00772B45">
      <w:pPr>
        <w:tabs>
          <w:tab w:val="right" w:pos="567"/>
        </w:tabs>
        <w:bidi/>
        <w:jc w:val="both"/>
        <w:rPr>
          <w:rFonts w:ascii="Traditional Arabic" w:hAnsi="Traditional Arabic" w:cs="Traditional Arabic"/>
          <w:sz w:val="32"/>
          <w:szCs w:val="32"/>
          <w:rtl/>
          <w:lang w:bidi="ar-DZ"/>
        </w:rPr>
      </w:pPr>
    </w:p>
    <w:p w:rsidR="00772B45" w:rsidRDefault="00772B45" w:rsidP="00772B45">
      <w:pPr>
        <w:tabs>
          <w:tab w:val="right" w:pos="567"/>
        </w:tabs>
        <w:bidi/>
        <w:jc w:val="both"/>
        <w:rPr>
          <w:rFonts w:ascii="Traditional Arabic" w:hAnsi="Traditional Arabic" w:cs="Traditional Arabic"/>
          <w:sz w:val="32"/>
          <w:szCs w:val="32"/>
          <w:rtl/>
          <w:lang w:bidi="ar-DZ"/>
        </w:rPr>
      </w:pPr>
    </w:p>
    <w:p w:rsidR="00772B45" w:rsidRDefault="00772B45" w:rsidP="00772B45">
      <w:pPr>
        <w:tabs>
          <w:tab w:val="right" w:pos="567"/>
        </w:tabs>
        <w:bidi/>
        <w:jc w:val="both"/>
        <w:rPr>
          <w:rFonts w:ascii="Traditional Arabic" w:hAnsi="Traditional Arabic" w:cs="Traditional Arabic"/>
          <w:sz w:val="32"/>
          <w:szCs w:val="32"/>
          <w:rtl/>
          <w:lang w:bidi="ar-DZ"/>
        </w:rPr>
      </w:pPr>
    </w:p>
    <w:p w:rsidR="00CF4CFE" w:rsidRPr="004633E7" w:rsidRDefault="00CF4CFE" w:rsidP="00772B45">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      </w:t>
      </w:r>
    </w:p>
    <w:p w:rsidR="00CF4CFE" w:rsidRPr="004633E7" w:rsidRDefault="00CF4CFE" w:rsidP="00CF4CFE">
      <w:pPr>
        <w:tabs>
          <w:tab w:val="right" w:pos="567"/>
        </w:tabs>
        <w:bidi/>
        <w:spacing w:after="0"/>
        <w:jc w:val="both"/>
        <w:rPr>
          <w:rFonts w:ascii="Traditional Arabic" w:hAnsi="Traditional Arabic" w:cs="Traditional Arabic"/>
          <w:b/>
          <w:bCs/>
          <w:sz w:val="32"/>
          <w:szCs w:val="32"/>
          <w:rtl/>
          <w:lang w:bidi="ar-DZ"/>
        </w:rPr>
      </w:pPr>
      <w:r w:rsidRPr="004633E7">
        <w:rPr>
          <w:rFonts w:ascii="Traditional Arabic" w:hAnsi="Traditional Arabic" w:cs="Traditional Arabic"/>
          <w:b/>
          <w:bCs/>
          <w:sz w:val="32"/>
          <w:szCs w:val="32"/>
          <w:rtl/>
          <w:lang w:bidi="ar-DZ"/>
        </w:rPr>
        <w:lastRenderedPageBreak/>
        <w:t>المطلب الثالث: انعكاسات الأزمة المالية على اقتصاديات البلدان منخفضة الدخل:</w:t>
      </w:r>
    </w:p>
    <w:p w:rsidR="00CF4CFE" w:rsidRDefault="00CF4CFE" w:rsidP="00CF4CFE">
      <w:pPr>
        <w:tabs>
          <w:tab w:val="right" w:pos="567"/>
        </w:tabs>
        <w:bidi/>
        <w:jc w:val="both"/>
        <w:rPr>
          <w:rFonts w:ascii="Traditional Arabic" w:hAnsi="Traditional Arabic" w:cs="Traditional Arabic"/>
          <w:sz w:val="32"/>
          <w:szCs w:val="32"/>
          <w:rtl/>
          <w:lang w:bidi="ar-DZ"/>
        </w:rPr>
      </w:pP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لم يسلم من العاصفة الاقتصادية إلا عددا قليلا من البلدان منخفضة الدخل رغم الروابط المالية المحدودة نسبيا بين هذه البلدان (لاسيما في إفريقيا جنوب الصحراء) والاقتصاديات المتقدمة. فقد تراجع الطلب على الصادرات وتفاقم أثره بانخفاض أسعار معظم السلع الواردة من</w:t>
      </w:r>
      <w:r w:rsidRPr="004633E7">
        <w:rPr>
          <w:rFonts w:ascii="Traditional Arabic" w:hAnsi="Traditional Arabic" w:cs="Traditional Arabic" w:hint="cs"/>
          <w:sz w:val="32"/>
          <w:szCs w:val="32"/>
          <w:rtl/>
          <w:lang w:bidi="ar-DZ"/>
        </w:rPr>
        <w:t>ها</w:t>
      </w:r>
      <w:r w:rsidRPr="004633E7">
        <w:rPr>
          <w:rFonts w:ascii="Traditional Arabic" w:hAnsi="Traditional Arabic" w:cs="Traditional Arabic"/>
          <w:sz w:val="32"/>
          <w:szCs w:val="32"/>
          <w:rtl/>
          <w:lang w:bidi="ar-DZ"/>
        </w:rPr>
        <w:t>. ومن ناحية، أسهمت الانخفاضات في أسعار السلع الأولية العالمية في الحد من التضخم وكان لها آثار موازنة على معدل التبادل التجاري. وبينما انخفضت أسعار الصادرات من السلع الأولية، انخفضت كذلك أسعار الواردات من السلع الأولية كالغذاء والوقود، الأمر الذي ترتب عليه زيادة الدخول الحقيقية لشرائح السكان الأشد فقرا.</w:t>
      </w:r>
      <w:r>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p>
    <w:p w:rsidR="00CF4CFE" w:rsidRPr="006775AD" w:rsidRDefault="00CF4CFE" w:rsidP="00CF4CFE">
      <w:pPr>
        <w:tabs>
          <w:tab w:val="right" w:pos="567"/>
        </w:tabs>
        <w:bidi/>
        <w:jc w:val="both"/>
        <w:rPr>
          <w:rFonts w:ascii="Traditional Arabic" w:hAnsi="Traditional Arabic" w:cs="Traditional Arabic"/>
          <w:sz w:val="32"/>
          <w:szCs w:val="32"/>
          <w:lang w:bidi="ar-DZ"/>
        </w:rPr>
      </w:pP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r w:rsidRPr="004633E7">
        <w:rPr>
          <w:rFonts w:ascii="Traditional Arabic" w:hAnsi="Traditional Arabic" w:cs="Traditional Arabic"/>
          <w:sz w:val="32"/>
          <w:szCs w:val="32"/>
          <w:rtl/>
          <w:lang w:bidi="ar-DZ"/>
        </w:rPr>
        <w:t xml:space="preserve">  غير أن </w:t>
      </w:r>
      <w:r w:rsidRPr="004633E7">
        <w:rPr>
          <w:rFonts w:ascii="Traditional Arabic" w:hAnsi="Traditional Arabic" w:cs="Traditional Arabic" w:hint="cs"/>
          <w:sz w:val="32"/>
          <w:szCs w:val="32"/>
          <w:rtl/>
          <w:lang w:bidi="ar-DZ"/>
        </w:rPr>
        <w:t>انخفاض</w:t>
      </w:r>
      <w:r w:rsidRPr="004633E7">
        <w:rPr>
          <w:rFonts w:ascii="Traditional Arabic" w:hAnsi="Traditional Arabic" w:cs="Traditional Arabic"/>
          <w:sz w:val="32"/>
          <w:szCs w:val="32"/>
          <w:rtl/>
          <w:lang w:bidi="ar-DZ"/>
        </w:rPr>
        <w:t xml:space="preserve"> تحويلات العاملين وتضييق أوضاع الائتمان العالمي وانخفاض الاستثمار الأجنبي المباشر أد</w:t>
      </w:r>
      <w:r w:rsidRPr="004633E7">
        <w:rPr>
          <w:rFonts w:ascii="Traditional Arabic" w:hAnsi="Traditional Arabic" w:cs="Traditional Arabic" w:hint="cs"/>
          <w:sz w:val="32"/>
          <w:szCs w:val="32"/>
          <w:rtl/>
          <w:lang w:bidi="ar-DZ"/>
        </w:rPr>
        <w:t>ى</w:t>
      </w:r>
      <w:r w:rsidRPr="004633E7">
        <w:rPr>
          <w:rFonts w:ascii="Traditional Arabic" w:hAnsi="Traditional Arabic" w:cs="Traditional Arabic"/>
          <w:sz w:val="32"/>
          <w:szCs w:val="32"/>
          <w:rtl/>
          <w:lang w:bidi="ar-DZ"/>
        </w:rPr>
        <w:t xml:space="preserve"> إلى تدهور الموازين الخارجية في البلدان منخفضة الدخل. فقد تراجع مركز المالية العامة الكلي</w:t>
      </w:r>
      <w:r w:rsidRPr="004633E7">
        <w:rPr>
          <w:rFonts w:ascii="Traditional Arabic" w:hAnsi="Traditional Arabic" w:cs="Traditional Arabic" w:hint="cs"/>
          <w:sz w:val="32"/>
          <w:szCs w:val="32"/>
          <w:rtl/>
          <w:lang w:bidi="ar-DZ"/>
        </w:rPr>
        <w:t xml:space="preserve">، أساسا </w:t>
      </w:r>
      <w:r w:rsidRPr="004633E7">
        <w:rPr>
          <w:rFonts w:ascii="Traditional Arabic" w:hAnsi="Traditional Arabic" w:cs="Traditional Arabic"/>
          <w:sz w:val="32"/>
          <w:szCs w:val="32"/>
          <w:rtl/>
          <w:lang w:bidi="ar-DZ"/>
        </w:rPr>
        <w:t>نتيجة حدوث تقلبات كبيرة في موازين المالية العامة في بعض البلدان المصدرة للنفط. وبالنسبة للبلدان الأخرى</w:t>
      </w:r>
      <w:r w:rsidRPr="004633E7">
        <w:rPr>
          <w:rFonts w:ascii="Traditional Arabic" w:hAnsi="Traditional Arabic" w:cs="Traditional Arabic" w:hint="cs"/>
          <w:sz w:val="32"/>
          <w:szCs w:val="32"/>
          <w:rtl/>
          <w:lang w:bidi="ar-DZ"/>
        </w:rPr>
        <w:t>،</w:t>
      </w:r>
      <w:r w:rsidRPr="004633E7">
        <w:rPr>
          <w:rFonts w:ascii="Traditional Arabic" w:hAnsi="Traditional Arabic" w:cs="Traditional Arabic"/>
          <w:sz w:val="32"/>
          <w:szCs w:val="32"/>
          <w:rtl/>
          <w:lang w:bidi="ar-DZ"/>
        </w:rPr>
        <w:t xml:space="preserve"> كان ضعف موازين المالية العامة له ما يبرره عموما.</w:t>
      </w:r>
      <w:r w:rsidRPr="005261E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كما انخفض معدل نمو</w:t>
      </w:r>
      <w:r w:rsidRPr="0030134E">
        <w:rPr>
          <w:rFonts w:ascii="Traditional Arabic" w:hAnsi="Traditional Arabic" w:cs="Traditional Arabic"/>
          <w:sz w:val="32"/>
          <w:szCs w:val="32"/>
          <w:rtl/>
          <w:lang w:bidi="ar-DZ"/>
        </w:rPr>
        <w:t xml:space="preserve"> </w:t>
      </w:r>
      <w:r w:rsidRPr="004633E7">
        <w:rPr>
          <w:rFonts w:ascii="Traditional Arabic" w:hAnsi="Traditional Arabic" w:cs="Traditional Arabic"/>
          <w:sz w:val="32"/>
          <w:szCs w:val="32"/>
          <w:rtl/>
          <w:lang w:bidi="ar-DZ"/>
        </w:rPr>
        <w:t>إجمالي الناتج المحلي الحقيقي</w:t>
      </w:r>
      <w:r>
        <w:rPr>
          <w:rFonts w:ascii="Traditional Arabic" w:hAnsi="Traditional Arabic" w:cs="Traditional Arabic" w:hint="cs"/>
          <w:sz w:val="32"/>
          <w:szCs w:val="32"/>
          <w:rtl/>
          <w:lang w:bidi="ar-DZ"/>
        </w:rPr>
        <w:t xml:space="preserve"> في إفريقيا من </w:t>
      </w:r>
      <w:r>
        <w:rPr>
          <w:rFonts w:ascii="Traditional Arabic" w:hAnsi="Traditional Arabic" w:cs="Traditional Arabic" w:hint="cs"/>
          <w:sz w:val="24"/>
          <w:szCs w:val="24"/>
          <w:rtl/>
          <w:lang w:bidi="ar-DZ"/>
        </w:rPr>
        <w:t>6.3</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2007</w:t>
      </w:r>
      <w:r w:rsidRPr="00F44F5E">
        <w:rPr>
          <w:rFonts w:ascii="Traditional Arabic" w:hAnsi="Traditional Arabic" w:cs="Traditional Arabic"/>
          <w:sz w:val="24"/>
          <w:szCs w:val="24"/>
          <w:rtl/>
          <w:lang w:bidi="ar-DZ"/>
        </w:rPr>
        <w:t xml:space="preserve"> </w:t>
      </w:r>
      <w:r>
        <w:rPr>
          <w:rFonts w:ascii="Traditional Arabic" w:hAnsi="Traditional Arabic" w:cs="Traditional Arabic" w:hint="cs"/>
          <w:sz w:val="32"/>
          <w:szCs w:val="32"/>
          <w:rtl/>
          <w:lang w:bidi="ar-DZ"/>
        </w:rPr>
        <w:t xml:space="preserve">إلى </w:t>
      </w:r>
      <w:r>
        <w:rPr>
          <w:rFonts w:ascii="Traditional Arabic" w:hAnsi="Traditional Arabic" w:cs="Traditional Arabic" w:hint="cs"/>
          <w:sz w:val="24"/>
          <w:szCs w:val="24"/>
          <w:rtl/>
          <w:lang w:bidi="ar-DZ"/>
        </w:rPr>
        <w:t>5.2</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 xml:space="preserve">2008 </w:t>
      </w:r>
      <w:r>
        <w:rPr>
          <w:rFonts w:ascii="Traditional Arabic" w:hAnsi="Traditional Arabic" w:cs="Traditional Arabic" w:hint="cs"/>
          <w:sz w:val="32"/>
          <w:szCs w:val="32"/>
          <w:rtl/>
          <w:lang w:bidi="ar-DZ"/>
        </w:rPr>
        <w:t>و</w:t>
      </w:r>
      <w:r>
        <w:rPr>
          <w:rFonts w:ascii="Traditional Arabic" w:hAnsi="Traditional Arabic" w:cs="Traditional Arabic" w:hint="cs"/>
          <w:sz w:val="24"/>
          <w:szCs w:val="24"/>
          <w:rtl/>
          <w:lang w:bidi="ar-DZ"/>
        </w:rPr>
        <w:t>1.9</w:t>
      </w:r>
      <w:r w:rsidRPr="00F44F5E">
        <w:rPr>
          <w:rFonts w:ascii="Traditional Arabic" w:hAnsi="Traditional Arabic" w:cs="Traditional Arabic"/>
          <w:sz w:val="24"/>
          <w:szCs w:val="24"/>
          <w:rtl/>
          <w:lang w:bidi="ar-DZ"/>
        </w:rPr>
        <w:t>%</w:t>
      </w:r>
      <w:r w:rsidRPr="00F44F5E">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في عام </w:t>
      </w:r>
      <w:r w:rsidRPr="00F44F5E">
        <w:rPr>
          <w:rFonts w:ascii="Traditional Arabic" w:hAnsi="Traditional Arabic" w:cs="Traditional Arabic" w:hint="cs"/>
          <w:sz w:val="24"/>
          <w:szCs w:val="24"/>
          <w:rtl/>
          <w:lang w:bidi="ar-DZ"/>
        </w:rPr>
        <w:t>2009</w:t>
      </w:r>
      <w:r>
        <w:rPr>
          <w:rFonts w:ascii="Traditional Arabic" w:hAnsi="Traditional Arabic" w:cs="Traditional Arabic" w:hint="cs"/>
          <w:sz w:val="32"/>
          <w:szCs w:val="32"/>
          <w:rtl/>
          <w:lang w:bidi="ar-DZ"/>
        </w:rPr>
        <w:t>.</w:t>
      </w:r>
      <w:r w:rsidRPr="004633E7">
        <w:rPr>
          <w:rFonts w:ascii="Traditional Arabic" w:hAnsi="Traditional Arabic" w:cs="Traditional Arabic"/>
          <w:sz w:val="32"/>
          <w:szCs w:val="32"/>
          <w:rtl/>
          <w:lang w:bidi="ar-DZ"/>
        </w:rPr>
        <w:t xml:space="preserve"> غير أنه مع ازدياد صعوبة الحصول على التمويل لتغطية العجوزات الخارجية، سعت البلدان التي تعاني من شدة القيود على التمويل المحلي والخارجي إلى الحصول على الدعم الإضافي من الجهات المانحة</w:t>
      </w:r>
      <w:r w:rsidRPr="004633E7">
        <w:rPr>
          <w:rStyle w:val="Appelnotedebasdep"/>
          <w:rFonts w:ascii="Traditional Arabic" w:hAnsi="Traditional Arabic" w:cs="Traditional Arabic"/>
          <w:sz w:val="32"/>
          <w:szCs w:val="32"/>
          <w:rtl/>
          <w:lang w:bidi="ar-DZ"/>
        </w:rPr>
        <w:footnoteReference w:id="18"/>
      </w:r>
      <w:r w:rsidRPr="004633E7">
        <w:rPr>
          <w:rFonts w:ascii="Traditional Arabic" w:hAnsi="Traditional Arabic" w:cs="Traditional Arabic"/>
          <w:sz w:val="32"/>
          <w:szCs w:val="32"/>
          <w:rtl/>
          <w:lang w:bidi="ar-DZ"/>
        </w:rPr>
        <w:t xml:space="preserve">. </w:t>
      </w:r>
      <w:r w:rsidRPr="004633E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CF4CFE" w:rsidRPr="005069A4" w:rsidRDefault="00CF4CFE" w:rsidP="00CF4CFE">
      <w:pPr>
        <w:bidi/>
        <w:rPr>
          <w:rFonts w:ascii="Traditional Arabic" w:hAnsi="Traditional Arabic" w:cs="Traditional Arabic"/>
          <w:sz w:val="36"/>
          <w:szCs w:val="36"/>
        </w:rPr>
      </w:pPr>
    </w:p>
    <w:p w:rsidR="00CF4CFE" w:rsidRDefault="00CF4CFE" w:rsidP="00CF4CFE"/>
    <w:p w:rsidR="00080E98" w:rsidRPr="00CF4CFE" w:rsidRDefault="00080E98" w:rsidP="00080E98">
      <w:pPr>
        <w:bidi/>
        <w:rPr>
          <w:rFonts w:ascii="Traditional Arabic" w:hAnsi="Traditional Arabic" w:cs="Traditional Arabic"/>
          <w:sz w:val="32"/>
          <w:szCs w:val="32"/>
        </w:rPr>
        <w:sectPr w:rsidR="00080E98" w:rsidRPr="00CF4CFE">
          <w:headerReference w:type="default" r:id="rId12"/>
          <w:footnotePr>
            <w:numStart w:val="291"/>
          </w:footnotePr>
          <w:pgSz w:w="11906" w:h="16838"/>
          <w:pgMar w:top="1417" w:right="1417" w:bottom="1417" w:left="1417" w:header="708" w:footer="708" w:gutter="0"/>
          <w:cols w:space="708"/>
          <w:docGrid w:linePitch="360"/>
        </w:sectPr>
      </w:pPr>
    </w:p>
    <w:p w:rsidR="0082131A" w:rsidRDefault="0082131A" w:rsidP="00931641">
      <w:pPr>
        <w:pStyle w:val="En-tte"/>
        <w:tabs>
          <w:tab w:val="right" w:pos="567"/>
          <w:tab w:val="right" w:pos="850"/>
          <w:tab w:val="right" w:pos="1134"/>
          <w:tab w:val="right" w:pos="1701"/>
          <w:tab w:val="right" w:pos="4252"/>
          <w:tab w:val="right" w:pos="4819"/>
        </w:tabs>
        <w:bidi/>
        <w:spacing w:line="276" w:lineRule="auto"/>
        <w:rPr>
          <w:rFonts w:ascii="Traditional Arabic" w:hAnsi="Traditional Arabic" w:cs="Traditional Arabic"/>
          <w:b/>
          <w:bCs/>
          <w:sz w:val="32"/>
          <w:szCs w:val="32"/>
          <w:rtl/>
          <w:lang w:bidi="ar-DZ"/>
        </w:rPr>
      </w:pPr>
      <w:r w:rsidRPr="002C10B5">
        <w:rPr>
          <w:rFonts w:ascii="Traditional Arabic" w:hAnsi="Traditional Arabic" w:cs="Traditional Arabic"/>
          <w:b/>
          <w:bCs/>
          <w:sz w:val="32"/>
          <w:szCs w:val="32"/>
          <w:rtl/>
          <w:lang w:bidi="ar-DZ"/>
        </w:rPr>
        <w:lastRenderedPageBreak/>
        <w:t xml:space="preserve">المبحث </w:t>
      </w:r>
      <w:r w:rsidR="002B5B77">
        <w:rPr>
          <w:rFonts w:ascii="Traditional Arabic" w:hAnsi="Traditional Arabic" w:cs="Traditional Arabic" w:hint="cs"/>
          <w:b/>
          <w:bCs/>
          <w:sz w:val="32"/>
          <w:szCs w:val="32"/>
          <w:rtl/>
          <w:lang w:bidi="ar-DZ"/>
        </w:rPr>
        <w:t>الثالث</w:t>
      </w:r>
      <w:r w:rsidRPr="002C10B5">
        <w:rPr>
          <w:rFonts w:ascii="Traditional Arabic" w:hAnsi="Traditional Arabic" w:cs="Traditional Arabic"/>
          <w:b/>
          <w:bCs/>
          <w:sz w:val="32"/>
          <w:szCs w:val="32"/>
          <w:rtl/>
          <w:lang w:bidi="ar-DZ"/>
        </w:rPr>
        <w:t xml:space="preserve">: انعكاسات الأزمة المالية العالمية على الدول العربية: </w:t>
      </w:r>
    </w:p>
    <w:p w:rsidR="008505F1" w:rsidRPr="008505F1" w:rsidRDefault="008505F1" w:rsidP="00864918">
      <w:pPr>
        <w:pStyle w:val="En-tte"/>
        <w:tabs>
          <w:tab w:val="right" w:pos="567"/>
        </w:tabs>
        <w:bidi/>
        <w:spacing w:after="240" w:line="276"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تواجه الدول العربية عدة تحديات أنتجتها الأزمة المالية العالمية وتداعياتها على القطاعات المالية والإنتاجية والخدماتية في الدول المتقدمة، ولعل أبرزها الانعكاسات التي برزت في أسعار السلع والنفط، تدفقات الاستثمار</w:t>
      </w:r>
      <w:r w:rsidRPr="004F2ACF">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الأجنبي المباشر،</w:t>
      </w:r>
      <w:r w:rsidRPr="003A6E8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العائدات السياحية، أداء الجهاز المصرفي، مؤشرات الأسواق المالية، تحويلات المغتربين وعلى أسواق العمل العربية.       </w:t>
      </w:r>
    </w:p>
    <w:p w:rsidR="00B233E5" w:rsidRPr="00EC3D9C" w:rsidRDefault="00560A38" w:rsidP="00B233E5">
      <w:pPr>
        <w:bidi/>
        <w:spacing w:after="0"/>
        <w:rPr>
          <w:rFonts w:ascii="Traditional Arabic" w:hAnsi="Traditional Arabic" w:cs="Traditional Arabic"/>
          <w:b/>
          <w:bCs/>
          <w:sz w:val="32"/>
          <w:szCs w:val="32"/>
          <w:rtl/>
          <w:lang w:bidi="ar-DZ"/>
        </w:rPr>
      </w:pPr>
      <w:r w:rsidRPr="00EC3D9C">
        <w:rPr>
          <w:rFonts w:ascii="Traditional Arabic" w:hAnsi="Traditional Arabic" w:cs="Traditional Arabic" w:hint="cs"/>
          <w:b/>
          <w:bCs/>
          <w:sz w:val="32"/>
          <w:szCs w:val="32"/>
          <w:rtl/>
          <w:lang w:bidi="ar-DZ"/>
        </w:rPr>
        <w:t xml:space="preserve">المطلب </w:t>
      </w:r>
      <w:r w:rsidR="00AE6938">
        <w:rPr>
          <w:rFonts w:ascii="Traditional Arabic" w:hAnsi="Traditional Arabic" w:cs="Traditional Arabic" w:hint="cs"/>
          <w:b/>
          <w:bCs/>
          <w:sz w:val="32"/>
          <w:szCs w:val="32"/>
          <w:rtl/>
          <w:lang w:bidi="ar-DZ"/>
        </w:rPr>
        <w:t>الأول</w:t>
      </w:r>
      <w:r w:rsidRPr="00EC3D9C">
        <w:rPr>
          <w:rFonts w:ascii="Traditional Arabic" w:hAnsi="Traditional Arabic" w:cs="Traditional Arabic" w:hint="cs"/>
          <w:b/>
          <w:bCs/>
          <w:sz w:val="32"/>
          <w:szCs w:val="32"/>
          <w:rtl/>
          <w:lang w:bidi="ar-DZ"/>
        </w:rPr>
        <w:t>: الانعكاسات المالية للأزمة على الدول العربية</w:t>
      </w:r>
      <w:r w:rsidR="00274034">
        <w:rPr>
          <w:rFonts w:ascii="Traditional Arabic" w:hAnsi="Traditional Arabic" w:cs="Traditional Arabic" w:hint="cs"/>
          <w:b/>
          <w:bCs/>
          <w:sz w:val="32"/>
          <w:szCs w:val="32"/>
          <w:rtl/>
          <w:lang w:bidi="ar-DZ"/>
        </w:rPr>
        <w:t>:</w:t>
      </w:r>
      <w:r w:rsidRPr="00EC3D9C">
        <w:rPr>
          <w:rFonts w:ascii="Traditional Arabic" w:hAnsi="Traditional Arabic" w:cs="Traditional Arabic" w:hint="cs"/>
          <w:b/>
          <w:bCs/>
          <w:sz w:val="32"/>
          <w:szCs w:val="32"/>
          <w:rtl/>
          <w:lang w:bidi="ar-DZ"/>
        </w:rPr>
        <w:t xml:space="preserve">  </w:t>
      </w:r>
    </w:p>
    <w:p w:rsidR="00560A38" w:rsidRPr="00EC3D9C" w:rsidRDefault="00560A38" w:rsidP="00560A38">
      <w:pPr>
        <w:bidi/>
        <w:spacing w:after="0"/>
        <w:rPr>
          <w:rFonts w:ascii="Traditional Arabic" w:hAnsi="Traditional Arabic" w:cs="Traditional Arabic"/>
          <w:b/>
          <w:bCs/>
          <w:sz w:val="32"/>
          <w:szCs w:val="32"/>
          <w:rtl/>
          <w:lang w:bidi="ar-DZ"/>
        </w:rPr>
      </w:pPr>
      <w:r w:rsidRPr="00EC3D9C">
        <w:rPr>
          <w:rFonts w:ascii="Traditional Arabic" w:hAnsi="Traditional Arabic" w:cs="Traditional Arabic" w:hint="cs"/>
          <w:b/>
          <w:bCs/>
          <w:sz w:val="24"/>
          <w:szCs w:val="24"/>
          <w:rtl/>
          <w:lang w:bidi="ar-DZ"/>
        </w:rPr>
        <w:t xml:space="preserve">1- </w:t>
      </w:r>
      <w:r w:rsidRPr="00EC3D9C">
        <w:rPr>
          <w:rFonts w:ascii="Traditional Arabic" w:hAnsi="Traditional Arabic" w:cs="Traditional Arabic" w:hint="cs"/>
          <w:b/>
          <w:bCs/>
          <w:sz w:val="32"/>
          <w:szCs w:val="32"/>
          <w:rtl/>
          <w:lang w:bidi="ar-EG"/>
        </w:rPr>
        <w:t xml:space="preserve">انعكاسات الأزمة على </w:t>
      </w:r>
      <w:r w:rsidRPr="00EC3D9C">
        <w:rPr>
          <w:rFonts w:ascii="Traditional Arabic" w:hAnsi="Traditional Arabic" w:cs="Traditional Arabic" w:hint="cs"/>
          <w:b/>
          <w:bCs/>
          <w:sz w:val="32"/>
          <w:szCs w:val="32"/>
          <w:rtl/>
          <w:lang w:bidi="ar-DZ"/>
        </w:rPr>
        <w:t>مؤشرات</w:t>
      </w:r>
      <w:r w:rsidRPr="00EC3D9C">
        <w:rPr>
          <w:rFonts w:ascii="Traditional Arabic" w:hAnsi="Traditional Arabic" w:cs="Traditional Arabic"/>
          <w:b/>
          <w:bCs/>
          <w:sz w:val="32"/>
          <w:szCs w:val="32"/>
          <w:rtl/>
          <w:lang w:bidi="ar-DZ"/>
        </w:rPr>
        <w:t xml:space="preserve"> أسواق الأوراق المالية العربية</w:t>
      </w:r>
      <w:r w:rsidRPr="00EC3D9C">
        <w:rPr>
          <w:rFonts w:ascii="Traditional Arabic" w:hAnsi="Traditional Arabic" w:cs="Traditional Arabic" w:hint="cs"/>
          <w:b/>
          <w:bCs/>
          <w:sz w:val="32"/>
          <w:szCs w:val="32"/>
          <w:rtl/>
          <w:lang w:bidi="ar-DZ"/>
        </w:rPr>
        <w:t xml:space="preserve">: </w:t>
      </w:r>
    </w:p>
    <w:p w:rsidR="00560A38" w:rsidRPr="0078560C"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32"/>
          <w:szCs w:val="32"/>
          <w:rtl/>
          <w:lang w:bidi="ar-DZ"/>
        </w:rPr>
        <w:t>شه</w:t>
      </w:r>
      <w:r>
        <w:rPr>
          <w:rFonts w:ascii="Traditional Arabic" w:hAnsi="Traditional Arabic" w:cs="Traditional Arabic" w:hint="cs"/>
          <w:sz w:val="32"/>
          <w:szCs w:val="32"/>
          <w:rtl/>
          <w:lang w:bidi="ar-DZ"/>
        </w:rPr>
        <w:t>د</w:t>
      </w:r>
      <w:r w:rsidRPr="0078560C">
        <w:rPr>
          <w:rFonts w:ascii="Traditional Arabic" w:hAnsi="Traditional Arabic" w:cs="Traditional Arabic" w:hint="cs"/>
          <w:sz w:val="32"/>
          <w:szCs w:val="32"/>
          <w:rtl/>
          <w:lang w:bidi="ar-DZ"/>
        </w:rPr>
        <w:t xml:space="preserve">ت أسواق الأوراق المالية العربية خلال عام </w:t>
      </w:r>
      <w:r w:rsidRPr="0078560C">
        <w:rPr>
          <w:rFonts w:ascii="Traditional Arabic" w:hAnsi="Traditional Arabic" w:cs="Traditional Arabic" w:hint="cs"/>
          <w:sz w:val="24"/>
          <w:szCs w:val="24"/>
          <w:rtl/>
          <w:lang w:bidi="ar-DZ"/>
        </w:rPr>
        <w:t xml:space="preserve">2008 </w:t>
      </w:r>
      <w:r w:rsidRPr="0078560C">
        <w:rPr>
          <w:rFonts w:ascii="Traditional Arabic" w:hAnsi="Traditional Arabic" w:cs="Traditional Arabic" w:hint="cs"/>
          <w:sz w:val="32"/>
          <w:szCs w:val="32"/>
          <w:rtl/>
          <w:lang w:bidi="ar-DZ"/>
        </w:rPr>
        <w:t xml:space="preserve">تقلبات حادة في أعقاب الأزمة المالية العالمية وخاصة في النصف الثاني من عام </w:t>
      </w:r>
      <w:r w:rsidRPr="0078560C">
        <w:rPr>
          <w:rFonts w:ascii="Traditional Arabic" w:hAnsi="Traditional Arabic" w:cs="Traditional Arabic" w:hint="cs"/>
          <w:sz w:val="24"/>
          <w:szCs w:val="24"/>
          <w:rtl/>
          <w:lang w:bidi="ar-DZ"/>
        </w:rPr>
        <w:t>2008</w:t>
      </w:r>
      <w:r w:rsidRPr="0078560C">
        <w:rPr>
          <w:rFonts w:ascii="Traditional Arabic" w:hAnsi="Traditional Arabic" w:cs="Traditional Arabic" w:hint="cs"/>
          <w:sz w:val="32"/>
          <w:szCs w:val="32"/>
          <w:rtl/>
          <w:lang w:bidi="ar-DZ"/>
        </w:rPr>
        <w:t xml:space="preserve">. فبعد التحسن النسبي في أداء الأسواق العربية خلال عام </w:t>
      </w:r>
      <w:r w:rsidRPr="0078560C">
        <w:rPr>
          <w:rFonts w:ascii="Traditional Arabic" w:hAnsi="Traditional Arabic" w:cs="Traditional Arabic" w:hint="cs"/>
          <w:sz w:val="24"/>
          <w:szCs w:val="24"/>
          <w:rtl/>
          <w:lang w:bidi="ar-DZ"/>
        </w:rPr>
        <w:t xml:space="preserve">2007 </w:t>
      </w:r>
      <w:r w:rsidRPr="0078560C">
        <w:rPr>
          <w:rFonts w:ascii="Traditional Arabic" w:hAnsi="Traditional Arabic" w:cs="Traditional Arabic" w:hint="cs"/>
          <w:sz w:val="32"/>
          <w:szCs w:val="32"/>
          <w:rtl/>
          <w:lang w:bidi="ar-DZ"/>
        </w:rPr>
        <w:t xml:space="preserve">وفي بداية عام </w:t>
      </w:r>
      <w:r w:rsidRPr="0078560C">
        <w:rPr>
          <w:rFonts w:ascii="Traditional Arabic" w:hAnsi="Traditional Arabic" w:cs="Traditional Arabic" w:hint="cs"/>
          <w:sz w:val="24"/>
          <w:szCs w:val="24"/>
          <w:rtl/>
          <w:lang w:bidi="ar-DZ"/>
        </w:rPr>
        <w:t>2008</w:t>
      </w:r>
      <w:r w:rsidRPr="0078560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عرفت</w:t>
      </w:r>
      <w:r w:rsidRPr="0078560C">
        <w:rPr>
          <w:rFonts w:ascii="Traditional Arabic" w:hAnsi="Traditional Arabic" w:cs="Traditional Arabic" w:hint="cs"/>
          <w:sz w:val="32"/>
          <w:szCs w:val="32"/>
          <w:rtl/>
          <w:lang w:bidi="ar-DZ"/>
        </w:rPr>
        <w:t xml:space="preserve"> مؤشرات هذه الأسواق الهبوط وانخفضت أحجام التداول وخسرت الأسواق نحو </w:t>
      </w:r>
      <w:r w:rsidRPr="0078560C">
        <w:rPr>
          <w:rFonts w:ascii="Traditional Arabic" w:hAnsi="Traditional Arabic" w:cs="Traditional Arabic" w:hint="cs"/>
          <w:sz w:val="24"/>
          <w:szCs w:val="24"/>
          <w:rtl/>
          <w:lang w:bidi="ar-DZ"/>
        </w:rPr>
        <w:t xml:space="preserve">569 </w:t>
      </w:r>
      <w:r w:rsidRPr="0078560C">
        <w:rPr>
          <w:rFonts w:ascii="Traditional Arabic" w:hAnsi="Traditional Arabic" w:cs="Traditional Arabic" w:hint="cs"/>
          <w:sz w:val="32"/>
          <w:szCs w:val="32"/>
          <w:rtl/>
          <w:lang w:bidi="ar-DZ"/>
        </w:rPr>
        <w:t xml:space="preserve">مليار دولار من إجمالي قيمتها السوقية خلال عام </w:t>
      </w:r>
      <w:r w:rsidRPr="0078560C">
        <w:rPr>
          <w:rFonts w:ascii="Traditional Arabic" w:hAnsi="Traditional Arabic" w:cs="Traditional Arabic" w:hint="cs"/>
          <w:sz w:val="24"/>
          <w:szCs w:val="24"/>
          <w:rtl/>
          <w:lang w:bidi="ar-DZ"/>
        </w:rPr>
        <w:t>2008</w:t>
      </w:r>
      <w:r w:rsidRPr="0078560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8821EB" w:rsidRDefault="00560A38" w:rsidP="0094517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32"/>
          <w:szCs w:val="32"/>
          <w:rtl/>
          <w:lang w:bidi="ar-DZ"/>
        </w:rPr>
        <w:t xml:space="preserve"> وانخفض المؤشر المركب لصندوق النقد العربي الذي يقيس أداء أسواق الأوراق المالية العربية ليصل إلى </w:t>
      </w:r>
      <w:r w:rsidRPr="0078560C">
        <w:rPr>
          <w:rFonts w:ascii="Traditional Arabic" w:hAnsi="Traditional Arabic" w:cs="Traditional Arabic" w:hint="cs"/>
          <w:sz w:val="24"/>
          <w:szCs w:val="24"/>
          <w:rtl/>
          <w:lang w:bidi="ar-DZ"/>
        </w:rPr>
        <w:t xml:space="preserve">166.2 </w:t>
      </w:r>
      <w:r w:rsidRPr="0078560C">
        <w:rPr>
          <w:rFonts w:ascii="Traditional Arabic" w:hAnsi="Traditional Arabic" w:cs="Traditional Arabic" w:hint="cs"/>
          <w:sz w:val="32"/>
          <w:szCs w:val="32"/>
          <w:rtl/>
          <w:lang w:bidi="ar-DZ"/>
        </w:rPr>
        <w:t xml:space="preserve">نقطة في نهاية عام </w:t>
      </w:r>
      <w:r w:rsidRPr="0078560C">
        <w:rPr>
          <w:rFonts w:ascii="Traditional Arabic" w:hAnsi="Traditional Arabic" w:cs="Traditional Arabic" w:hint="cs"/>
          <w:sz w:val="24"/>
          <w:szCs w:val="24"/>
          <w:rtl/>
          <w:lang w:bidi="ar-DZ"/>
        </w:rPr>
        <w:t>2008</w:t>
      </w:r>
      <w:r w:rsidRPr="0078560C">
        <w:rPr>
          <w:rFonts w:ascii="Traditional Arabic" w:hAnsi="Traditional Arabic" w:cs="Traditional Arabic" w:hint="cs"/>
          <w:sz w:val="32"/>
          <w:szCs w:val="32"/>
          <w:rtl/>
          <w:lang w:bidi="ar-DZ"/>
        </w:rPr>
        <w:t xml:space="preserve">، مقارنة مع </w:t>
      </w:r>
      <w:r w:rsidRPr="0078560C">
        <w:rPr>
          <w:rFonts w:ascii="Traditional Arabic" w:hAnsi="Traditional Arabic" w:cs="Traditional Arabic" w:hint="cs"/>
          <w:sz w:val="24"/>
          <w:szCs w:val="24"/>
          <w:rtl/>
          <w:lang w:bidi="ar-DZ"/>
        </w:rPr>
        <w:t xml:space="preserve">328.7 </w:t>
      </w:r>
      <w:r w:rsidRPr="0078560C">
        <w:rPr>
          <w:rFonts w:ascii="Traditional Arabic" w:hAnsi="Traditional Arabic" w:cs="Traditional Arabic" w:hint="cs"/>
          <w:sz w:val="32"/>
          <w:szCs w:val="32"/>
          <w:rtl/>
          <w:lang w:bidi="ar-DZ"/>
        </w:rPr>
        <w:t xml:space="preserve">نقطة نهاية عام </w:t>
      </w:r>
      <w:r w:rsidRPr="0078560C">
        <w:rPr>
          <w:rFonts w:ascii="Traditional Arabic" w:hAnsi="Traditional Arabic" w:cs="Traditional Arabic" w:hint="cs"/>
          <w:sz w:val="24"/>
          <w:szCs w:val="24"/>
          <w:rtl/>
          <w:lang w:bidi="ar-DZ"/>
        </w:rPr>
        <w:t>2007</w:t>
      </w:r>
      <w:r w:rsidR="001848F7">
        <w:rPr>
          <w:rFonts w:ascii="Traditional Arabic" w:hAnsi="Traditional Arabic" w:cs="Traditional Arabic" w:hint="cs"/>
          <w:sz w:val="24"/>
          <w:szCs w:val="24"/>
          <w:rtl/>
          <w:lang w:bidi="ar-DZ"/>
        </w:rPr>
        <w:t xml:space="preserve"> </w:t>
      </w:r>
      <w:r w:rsidR="001848F7" w:rsidRPr="001848F7">
        <w:rPr>
          <w:rFonts w:ascii="Traditional Arabic" w:hAnsi="Traditional Arabic" w:cs="Traditional Arabic" w:hint="cs"/>
          <w:sz w:val="32"/>
          <w:szCs w:val="32"/>
          <w:rtl/>
          <w:lang w:bidi="ar-DZ"/>
        </w:rPr>
        <w:t xml:space="preserve">(أنظر الشكل رقم </w:t>
      </w:r>
      <w:r w:rsidR="001848F7" w:rsidRPr="001848F7">
        <w:rPr>
          <w:rFonts w:ascii="Traditional Arabic" w:hAnsi="Traditional Arabic" w:cs="Traditional Arabic" w:hint="cs"/>
          <w:sz w:val="24"/>
          <w:szCs w:val="24"/>
          <w:rtl/>
          <w:lang w:bidi="ar-DZ"/>
        </w:rPr>
        <w:t>19</w:t>
      </w:r>
      <w:r w:rsidR="001848F7" w:rsidRPr="001848F7">
        <w:rPr>
          <w:rFonts w:ascii="Traditional Arabic" w:hAnsi="Traditional Arabic" w:cs="Traditional Arabic" w:hint="cs"/>
          <w:sz w:val="32"/>
          <w:szCs w:val="32"/>
          <w:rtl/>
          <w:lang w:bidi="ar-DZ"/>
        </w:rPr>
        <w:t>)</w:t>
      </w:r>
      <w:r w:rsidRPr="0078560C">
        <w:rPr>
          <w:rFonts w:ascii="Traditional Arabic" w:hAnsi="Traditional Arabic" w:cs="Traditional Arabic" w:hint="cs"/>
          <w:sz w:val="32"/>
          <w:szCs w:val="32"/>
          <w:rtl/>
          <w:lang w:bidi="ar-DZ"/>
        </w:rPr>
        <w:t>. ويعكس هذا الانخفاض التراجع الملحوظ في أداء غالبية الأسواق المالية العربية، من ناحية أحجام التداول والأسعار والقيم السوقية للأسواق.</w:t>
      </w:r>
      <w:r w:rsidR="00184D83">
        <w:rPr>
          <w:rFonts w:ascii="Traditional Arabic" w:hAnsi="Traditional Arabic" w:cs="Traditional Arabic" w:hint="cs"/>
          <w:sz w:val="32"/>
          <w:szCs w:val="32"/>
          <w:rtl/>
          <w:lang w:bidi="ar-DZ"/>
        </w:rPr>
        <w:t xml:space="preserve"> </w:t>
      </w:r>
      <w:r w:rsidR="001848F7">
        <w:rPr>
          <w:rFonts w:ascii="Traditional Arabic" w:hAnsi="Traditional Arabic" w:cs="Traditional Arabic" w:hint="cs"/>
          <w:sz w:val="32"/>
          <w:szCs w:val="32"/>
          <w:rtl/>
          <w:lang w:bidi="ar-DZ"/>
        </w:rPr>
        <w:t xml:space="preserve"> </w:t>
      </w:r>
    </w:p>
    <w:p w:rsidR="00560A38" w:rsidRPr="006143CB" w:rsidRDefault="00560A38" w:rsidP="0067613E">
      <w:pPr>
        <w:tabs>
          <w:tab w:val="right" w:pos="567"/>
        </w:tabs>
        <w:bidi/>
        <w:spacing w:after="0"/>
        <w:jc w:val="center"/>
        <w:rPr>
          <w:rFonts w:ascii="Traditional Arabic" w:hAnsi="Traditional Arabic" w:cs="Traditional Arabic"/>
          <w:sz w:val="32"/>
          <w:szCs w:val="32"/>
          <w:rtl/>
          <w:lang w:bidi="ar-DZ"/>
        </w:rPr>
      </w:pPr>
      <w:r w:rsidRPr="006143CB">
        <w:rPr>
          <w:rFonts w:ascii="Traditional Arabic" w:hAnsi="Traditional Arabic" w:cs="Traditional Arabic" w:hint="cs"/>
          <w:sz w:val="32"/>
          <w:szCs w:val="32"/>
          <w:rtl/>
          <w:lang w:bidi="ar-DZ"/>
        </w:rPr>
        <w:t>الشكل</w:t>
      </w:r>
      <w:r w:rsidR="001848F7">
        <w:rPr>
          <w:rFonts w:ascii="Traditional Arabic" w:hAnsi="Traditional Arabic" w:cs="Traditional Arabic" w:hint="cs"/>
          <w:sz w:val="32"/>
          <w:szCs w:val="32"/>
          <w:rtl/>
          <w:lang w:bidi="ar-DZ"/>
        </w:rPr>
        <w:t xml:space="preserve"> رقم </w:t>
      </w:r>
      <w:r w:rsidR="001848F7" w:rsidRPr="001848F7">
        <w:rPr>
          <w:rFonts w:ascii="Traditional Arabic" w:hAnsi="Traditional Arabic" w:cs="Traditional Arabic" w:hint="cs"/>
          <w:sz w:val="24"/>
          <w:szCs w:val="24"/>
          <w:rtl/>
          <w:lang w:bidi="ar-DZ"/>
        </w:rPr>
        <w:t>19</w:t>
      </w:r>
      <w:r w:rsidRPr="006143CB">
        <w:rPr>
          <w:rFonts w:ascii="Traditional Arabic" w:hAnsi="Traditional Arabic" w:cs="Traditional Arabic" w:hint="cs"/>
          <w:sz w:val="32"/>
          <w:szCs w:val="32"/>
          <w:rtl/>
          <w:lang w:bidi="ar-DZ"/>
        </w:rPr>
        <w:t xml:space="preserve">: المؤشر المركب لصندوق النقد العربي لعام </w:t>
      </w:r>
      <w:r w:rsidRPr="006143CB">
        <w:rPr>
          <w:rFonts w:ascii="Traditional Arabic" w:hAnsi="Traditional Arabic" w:cs="Traditional Arabic" w:hint="cs"/>
          <w:sz w:val="24"/>
          <w:szCs w:val="24"/>
          <w:rtl/>
          <w:lang w:bidi="ar-DZ"/>
        </w:rPr>
        <w:t>2008</w:t>
      </w:r>
    </w:p>
    <w:p w:rsidR="00560A38" w:rsidRPr="00CD117E" w:rsidRDefault="00745183" w:rsidP="00EF3A52">
      <w:pPr>
        <w:tabs>
          <w:tab w:val="right" w:pos="567"/>
        </w:tabs>
        <w:bidi/>
        <w:jc w:val="both"/>
        <w:rPr>
          <w:rFonts w:ascii="Traditional Arabic" w:hAnsi="Traditional Arabic" w:cs="Traditional Arabic"/>
          <w:sz w:val="26"/>
          <w:szCs w:val="26"/>
          <w:rtl/>
          <w:lang w:bidi="ar-DZ"/>
        </w:rPr>
      </w:pPr>
      <w:r w:rsidRPr="00745183">
        <w:rPr>
          <w:rFonts w:ascii="Traditional Arabic" w:hAnsi="Traditional Arabic" w:cs="Traditional Arabic"/>
          <w:noProof/>
          <w:sz w:val="28"/>
          <w:szCs w:val="28"/>
          <w:rtl/>
        </w:rPr>
        <w:pict>
          <v:rect id="_x0000_s1109" style="position:absolute;left:0;text-align:left;margin-left:379.6pt;margin-top:1.45pt;width:31.05pt;height:155.5pt;z-index:251701248" fillcolor="white [3212]" strokecolor="white [3212]">
            <v:textbox style="mso-next-textbox:#_x0000_s1109">
              <w:txbxContent>
                <w:p w:rsidR="00205648" w:rsidRPr="00CD117E" w:rsidRDefault="00205648" w:rsidP="00560A38">
                  <w:pPr>
                    <w:spacing w:after="0"/>
                    <w:rPr>
                      <w:rFonts w:ascii="Traditional Arabic" w:hAnsi="Traditional Arabic" w:cs="Traditional Arabic"/>
                      <w:sz w:val="26"/>
                      <w:szCs w:val="26"/>
                      <w:rtl/>
                      <w:lang w:bidi="ar-DZ"/>
                    </w:rPr>
                  </w:pPr>
                  <w:r w:rsidRPr="00CD117E">
                    <w:rPr>
                      <w:rFonts w:ascii="Traditional Arabic" w:hAnsi="Traditional Arabic" w:cs="Traditional Arabic"/>
                      <w:sz w:val="26"/>
                      <w:szCs w:val="26"/>
                      <w:rtl/>
                      <w:lang w:bidi="ar-DZ"/>
                    </w:rPr>
                    <w:t>نقطة</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350</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325</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300</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275</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250</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225</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200</w:t>
                  </w:r>
                </w:p>
                <w:p w:rsidR="00205648" w:rsidRPr="009F3E76" w:rsidRDefault="00205648" w:rsidP="00560A38">
                  <w:pPr>
                    <w:spacing w:after="0"/>
                    <w:rPr>
                      <w:rFonts w:asciiTheme="majorBidi" w:hAnsiTheme="majorBidi" w:cstheme="majorBidi"/>
                      <w:sz w:val="20"/>
                      <w:szCs w:val="20"/>
                      <w:rtl/>
                      <w:lang w:bidi="ar-DZ"/>
                    </w:rPr>
                  </w:pPr>
                  <w:r w:rsidRPr="009F3E76">
                    <w:rPr>
                      <w:rFonts w:asciiTheme="majorBidi" w:hAnsiTheme="majorBidi" w:cstheme="majorBidi"/>
                      <w:sz w:val="20"/>
                      <w:szCs w:val="20"/>
                      <w:rtl/>
                      <w:lang w:bidi="ar-DZ"/>
                    </w:rPr>
                    <w:t>175</w:t>
                  </w:r>
                </w:p>
                <w:p w:rsidR="00205648" w:rsidRPr="009F3E76" w:rsidRDefault="00205648" w:rsidP="00560A38">
                  <w:pPr>
                    <w:spacing w:after="0"/>
                    <w:rPr>
                      <w:rFonts w:asciiTheme="majorBidi" w:hAnsiTheme="majorBidi" w:cstheme="majorBidi"/>
                      <w:sz w:val="24"/>
                      <w:szCs w:val="24"/>
                      <w:rtl/>
                      <w:lang w:bidi="ar-DZ"/>
                    </w:rPr>
                  </w:pPr>
                  <w:r w:rsidRPr="009F3E76">
                    <w:rPr>
                      <w:rFonts w:asciiTheme="majorBidi" w:hAnsiTheme="majorBidi" w:cstheme="majorBidi"/>
                      <w:sz w:val="20"/>
                      <w:szCs w:val="20"/>
                      <w:rtl/>
                      <w:lang w:bidi="ar-DZ"/>
                    </w:rPr>
                    <w:t>150</w:t>
                  </w:r>
                </w:p>
                <w:p w:rsidR="00205648" w:rsidRDefault="00205648" w:rsidP="00560A38">
                  <w:pPr>
                    <w:spacing w:after="0"/>
                    <w:rPr>
                      <w:sz w:val="24"/>
                      <w:szCs w:val="24"/>
                      <w:rtl/>
                      <w:lang w:bidi="ar-DZ"/>
                    </w:rPr>
                  </w:pPr>
                </w:p>
                <w:p w:rsidR="00205648" w:rsidRPr="0084465F" w:rsidRDefault="00205648" w:rsidP="00560A38">
                  <w:pPr>
                    <w:spacing w:line="240" w:lineRule="auto"/>
                    <w:rPr>
                      <w:sz w:val="24"/>
                      <w:szCs w:val="24"/>
                      <w:lang w:bidi="ar-DZ"/>
                    </w:rPr>
                  </w:pPr>
                </w:p>
              </w:txbxContent>
            </v:textbox>
          </v:rect>
        </w:pict>
      </w:r>
      <w:r w:rsidR="00560A38">
        <w:rPr>
          <w:rFonts w:ascii="Traditional Arabic" w:hAnsi="Traditional Arabic" w:cs="Traditional Arabic" w:hint="cs"/>
          <w:sz w:val="28"/>
          <w:szCs w:val="28"/>
          <w:rtl/>
          <w:lang w:bidi="ar-DZ"/>
        </w:rPr>
        <w:t xml:space="preserve">                                                        </w:t>
      </w:r>
      <w:r w:rsidR="00560A38" w:rsidRPr="00CD117E">
        <w:rPr>
          <w:rFonts w:ascii="Traditional Arabic" w:hAnsi="Traditional Arabic" w:cs="Traditional Arabic" w:hint="cs"/>
          <w:sz w:val="26"/>
          <w:szCs w:val="26"/>
          <w:rtl/>
          <w:lang w:bidi="ar-DZ"/>
        </w:rPr>
        <w:t>المؤشر المركب</w:t>
      </w:r>
    </w:p>
    <w:p w:rsidR="00560A38" w:rsidRDefault="00560A38" w:rsidP="00560A38">
      <w:pPr>
        <w:tabs>
          <w:tab w:val="right" w:pos="567"/>
        </w:tabs>
        <w:bidi/>
        <w:spacing w:after="0" w:line="240" w:lineRule="auto"/>
        <w:jc w:val="center"/>
        <w:rPr>
          <w:rFonts w:ascii="Traditional Arabic" w:hAnsi="Traditional Arabic" w:cs="Traditional Arabic"/>
          <w:sz w:val="28"/>
          <w:szCs w:val="28"/>
          <w:rtl/>
          <w:lang w:bidi="ar-DZ"/>
        </w:rPr>
      </w:pPr>
      <w:r>
        <w:rPr>
          <w:rFonts w:ascii="Traditional Arabic" w:hAnsi="Traditional Arabic" w:cs="Traditional Arabic" w:hint="cs"/>
          <w:noProof/>
          <w:sz w:val="28"/>
          <w:szCs w:val="28"/>
        </w:rPr>
        <w:drawing>
          <wp:inline distT="0" distB="0" distL="0" distR="0">
            <wp:extent cx="3818033" cy="1387840"/>
            <wp:effectExtent l="19050" t="0" r="0" b="0"/>
            <wp:docPr id="2"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srcRect/>
                    <a:stretch>
                      <a:fillRect/>
                    </a:stretch>
                  </pic:blipFill>
                  <pic:spPr bwMode="auto">
                    <a:xfrm>
                      <a:off x="0" y="0"/>
                      <a:ext cx="3818033" cy="1387840"/>
                    </a:xfrm>
                    <a:prstGeom prst="rect">
                      <a:avLst/>
                    </a:prstGeom>
                    <a:noFill/>
                    <a:ln w="9525">
                      <a:noFill/>
                      <a:miter lim="800000"/>
                      <a:headEnd/>
                      <a:tailEnd/>
                    </a:ln>
                  </pic:spPr>
                </pic:pic>
              </a:graphicData>
            </a:graphic>
          </wp:inline>
        </w:drawing>
      </w:r>
    </w:p>
    <w:p w:rsidR="00560A38" w:rsidRDefault="00560A38" w:rsidP="00560A38">
      <w:pPr>
        <w:tabs>
          <w:tab w:val="right" w:pos="567"/>
        </w:tabs>
        <w:bidi/>
        <w:spacing w:after="0" w:line="240" w:lineRule="auto"/>
        <w:jc w:val="both"/>
        <w:rPr>
          <w:rFonts w:ascii="Traditional Arabic" w:hAnsi="Traditional Arabic" w:cs="Traditional Arabic"/>
          <w:sz w:val="20"/>
          <w:szCs w:val="20"/>
          <w:rtl/>
          <w:lang w:bidi="ar-DZ"/>
        </w:rPr>
      </w:pPr>
      <w:r w:rsidRPr="00B847F8">
        <w:rPr>
          <w:rFonts w:ascii="Traditional Arabic" w:hAnsi="Traditional Arabic" w:cs="Traditional Arabic" w:hint="cs"/>
          <w:sz w:val="20"/>
          <w:szCs w:val="20"/>
          <w:rtl/>
          <w:lang w:bidi="ar-DZ"/>
        </w:rPr>
        <w:t xml:space="preserve">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جانفي</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فيفري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مارس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أفريل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ماي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جوان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جويلية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أوت    سبتمبر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أكتوبر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نوفمبر  </w:t>
      </w:r>
      <w:r>
        <w:rPr>
          <w:rFonts w:ascii="Traditional Arabic" w:hAnsi="Traditional Arabic" w:cs="Traditional Arabic" w:hint="cs"/>
          <w:sz w:val="20"/>
          <w:szCs w:val="20"/>
          <w:rtl/>
          <w:lang w:bidi="ar-DZ"/>
        </w:rPr>
        <w:t xml:space="preserve"> </w:t>
      </w:r>
      <w:r w:rsidRPr="00B847F8">
        <w:rPr>
          <w:rFonts w:ascii="Traditional Arabic" w:hAnsi="Traditional Arabic" w:cs="Traditional Arabic" w:hint="cs"/>
          <w:sz w:val="20"/>
          <w:szCs w:val="20"/>
          <w:rtl/>
          <w:lang w:bidi="ar-DZ"/>
        </w:rPr>
        <w:t xml:space="preserve"> ديسمبر</w:t>
      </w:r>
    </w:p>
    <w:p w:rsidR="00560A38" w:rsidRPr="006143CB" w:rsidRDefault="00560A38" w:rsidP="00560A38">
      <w:pPr>
        <w:tabs>
          <w:tab w:val="right" w:pos="567"/>
        </w:tabs>
        <w:bidi/>
        <w:spacing w:line="240" w:lineRule="auto"/>
        <w:jc w:val="both"/>
        <w:rPr>
          <w:rFonts w:ascii="Traditional Arabic" w:hAnsi="Traditional Arabic" w:cs="Traditional Arabic"/>
          <w:sz w:val="28"/>
          <w:szCs w:val="28"/>
          <w:rtl/>
          <w:lang w:bidi="ar-DZ"/>
        </w:rPr>
      </w:pPr>
      <w:r w:rsidRPr="006143CB">
        <w:rPr>
          <w:rFonts w:ascii="Traditional Arabic" w:hAnsi="Traditional Arabic" w:cs="Traditional Arabic" w:hint="cs"/>
          <w:sz w:val="28"/>
          <w:szCs w:val="28"/>
          <w:rtl/>
          <w:lang w:bidi="ar-DZ"/>
        </w:rPr>
        <w:t xml:space="preserve">المصدر: صندوق النقد العربي: التطورات النقدية والمصرفية وفي أسواق المال في الدول العربية، التقرير الاقتصادي العربي الموحد، العدد </w:t>
      </w:r>
      <w:r w:rsidRPr="006143CB">
        <w:rPr>
          <w:rFonts w:ascii="Traditional Arabic" w:hAnsi="Traditional Arabic" w:cs="Traditional Arabic" w:hint="cs"/>
          <w:sz w:val="24"/>
          <w:szCs w:val="24"/>
          <w:rtl/>
          <w:lang w:bidi="ar-DZ"/>
        </w:rPr>
        <w:t>29</w:t>
      </w:r>
      <w:r w:rsidRPr="006143CB">
        <w:rPr>
          <w:rFonts w:ascii="Traditional Arabic" w:hAnsi="Traditional Arabic" w:cs="Traditional Arabic" w:hint="cs"/>
          <w:sz w:val="28"/>
          <w:szCs w:val="28"/>
          <w:rtl/>
          <w:lang w:bidi="ar-DZ"/>
        </w:rPr>
        <w:t xml:space="preserve">، </w:t>
      </w:r>
      <w:r w:rsidRPr="006143CB">
        <w:rPr>
          <w:rFonts w:ascii="Traditional Arabic" w:hAnsi="Traditional Arabic" w:cs="Traditional Arabic" w:hint="cs"/>
          <w:sz w:val="24"/>
          <w:szCs w:val="24"/>
          <w:rtl/>
          <w:lang w:bidi="ar-DZ"/>
        </w:rPr>
        <w:t>2009</w:t>
      </w:r>
      <w:r w:rsidRPr="006143CB">
        <w:rPr>
          <w:rFonts w:ascii="Traditional Arabic" w:hAnsi="Traditional Arabic" w:cs="Traditional Arabic" w:hint="cs"/>
          <w:sz w:val="28"/>
          <w:szCs w:val="28"/>
          <w:rtl/>
          <w:lang w:bidi="ar-DZ"/>
        </w:rPr>
        <w:t xml:space="preserve">، ص </w:t>
      </w:r>
      <w:r w:rsidRPr="006143CB">
        <w:rPr>
          <w:rFonts w:ascii="Traditional Arabic" w:hAnsi="Traditional Arabic" w:cs="Traditional Arabic" w:hint="cs"/>
          <w:sz w:val="24"/>
          <w:szCs w:val="24"/>
          <w:rtl/>
          <w:lang w:bidi="ar-DZ"/>
        </w:rPr>
        <w:t>130</w:t>
      </w:r>
      <w:r w:rsidRPr="006143CB">
        <w:rPr>
          <w:rFonts w:ascii="Traditional Arabic" w:hAnsi="Traditional Arabic" w:cs="Traditional Arabic" w:hint="cs"/>
          <w:sz w:val="28"/>
          <w:szCs w:val="28"/>
          <w:rtl/>
          <w:lang w:bidi="ar-DZ"/>
        </w:rPr>
        <w:t xml:space="preserve">. </w:t>
      </w:r>
    </w:p>
    <w:p w:rsidR="00184D83" w:rsidRPr="00B70CA4" w:rsidRDefault="0003239F" w:rsidP="00B70CA4">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كما </w:t>
      </w:r>
      <w:r w:rsidR="00184D83" w:rsidRPr="0078560C">
        <w:rPr>
          <w:rFonts w:ascii="Traditional Arabic" w:hAnsi="Traditional Arabic" w:cs="Traditional Arabic" w:hint="cs"/>
          <w:sz w:val="32"/>
          <w:szCs w:val="32"/>
          <w:rtl/>
          <w:lang w:bidi="ar-DZ"/>
        </w:rPr>
        <w:t>تراجعت الأسواق</w:t>
      </w:r>
      <w:r w:rsidR="000B0189">
        <w:rPr>
          <w:rFonts w:ascii="Traditional Arabic" w:hAnsi="Traditional Arabic" w:cs="Traditional Arabic" w:hint="cs"/>
          <w:sz w:val="32"/>
          <w:szCs w:val="32"/>
          <w:rtl/>
          <w:lang w:bidi="ar-DZ"/>
        </w:rPr>
        <w:t xml:space="preserve"> المالية</w:t>
      </w:r>
      <w:r w:rsidR="00184D83" w:rsidRPr="0078560C">
        <w:rPr>
          <w:rFonts w:ascii="Traditional Arabic" w:hAnsi="Traditional Arabic" w:cs="Traditional Arabic" w:hint="cs"/>
          <w:sz w:val="32"/>
          <w:szCs w:val="32"/>
          <w:rtl/>
          <w:lang w:bidi="ar-DZ"/>
        </w:rPr>
        <w:t xml:space="preserve"> العربية عموما بنسب أعلى من نسب التراجع التي شهدتها معظم الأسواق الناشئة والدولية، فعلى سبيل المثال، فقد تراجع المؤشر المركب لصندوق النقد العربي لأسواق الأوراق المالية العربية في عام </w:t>
      </w:r>
      <w:r w:rsidR="00184D83" w:rsidRPr="0078560C">
        <w:rPr>
          <w:rFonts w:ascii="Traditional Arabic" w:hAnsi="Traditional Arabic" w:cs="Traditional Arabic" w:hint="cs"/>
          <w:sz w:val="24"/>
          <w:szCs w:val="24"/>
          <w:rtl/>
          <w:lang w:bidi="ar-DZ"/>
        </w:rPr>
        <w:t xml:space="preserve">2008 </w:t>
      </w:r>
      <w:r w:rsidR="00184D83" w:rsidRPr="0078560C">
        <w:rPr>
          <w:rFonts w:ascii="Traditional Arabic" w:hAnsi="Traditional Arabic" w:cs="Traditional Arabic" w:hint="cs"/>
          <w:sz w:val="32"/>
          <w:szCs w:val="32"/>
          <w:rtl/>
          <w:lang w:bidi="ar-DZ"/>
        </w:rPr>
        <w:t xml:space="preserve">بنحو </w:t>
      </w:r>
      <w:r w:rsidR="00184D83" w:rsidRPr="0078560C">
        <w:rPr>
          <w:rFonts w:ascii="Traditional Arabic" w:hAnsi="Traditional Arabic" w:cs="Traditional Arabic" w:hint="cs"/>
          <w:sz w:val="24"/>
          <w:szCs w:val="24"/>
          <w:rtl/>
          <w:lang w:bidi="ar-DZ"/>
        </w:rPr>
        <w:t xml:space="preserve">49.4 </w:t>
      </w:r>
      <w:r w:rsidR="00184D83" w:rsidRPr="0078560C">
        <w:rPr>
          <w:rFonts w:ascii="Traditional Arabic" w:hAnsi="Traditional Arabic" w:cs="Traditional Arabic"/>
          <w:sz w:val="24"/>
          <w:szCs w:val="24"/>
          <w:rtl/>
          <w:lang w:bidi="ar-DZ"/>
        </w:rPr>
        <w:t>%</w:t>
      </w:r>
      <w:r w:rsidR="00184D83" w:rsidRPr="0078560C">
        <w:rPr>
          <w:rFonts w:ascii="Traditional Arabic" w:hAnsi="Traditional Arabic" w:cs="Traditional Arabic" w:hint="cs"/>
          <w:sz w:val="32"/>
          <w:szCs w:val="32"/>
          <w:rtl/>
          <w:lang w:bidi="ar-DZ"/>
        </w:rPr>
        <w:t xml:space="preserve">، بينما انخفض مؤشر </w:t>
      </w:r>
      <w:r w:rsidR="00184D83" w:rsidRPr="0078560C">
        <w:rPr>
          <w:rFonts w:ascii="Traditional Arabic" w:hAnsi="Traditional Arabic" w:cs="Traditional Arabic"/>
          <w:sz w:val="32"/>
          <w:szCs w:val="32"/>
          <w:lang w:bidi="ar-DZ"/>
        </w:rPr>
        <w:t>(</w:t>
      </w:r>
      <w:r w:rsidR="00184D83" w:rsidRPr="0078560C">
        <w:rPr>
          <w:rFonts w:ascii="Traditional Arabic" w:hAnsi="Traditional Arabic" w:cs="Traditional Arabic"/>
          <w:sz w:val="24"/>
          <w:szCs w:val="24"/>
          <w:lang w:bidi="ar-DZ"/>
        </w:rPr>
        <w:t>S&amp;P 500</w:t>
      </w:r>
      <w:r w:rsidR="00184D83" w:rsidRPr="0078560C">
        <w:rPr>
          <w:rFonts w:ascii="Traditional Arabic" w:hAnsi="Traditional Arabic" w:cs="Traditional Arabic"/>
          <w:sz w:val="32"/>
          <w:szCs w:val="32"/>
          <w:lang w:bidi="ar-DZ"/>
        </w:rPr>
        <w:t>)</w:t>
      </w:r>
      <w:r w:rsidR="00184D83" w:rsidRPr="0078560C">
        <w:rPr>
          <w:rFonts w:ascii="Traditional Arabic" w:hAnsi="Traditional Arabic" w:cs="Traditional Arabic"/>
          <w:b/>
          <w:bCs/>
          <w:sz w:val="32"/>
          <w:szCs w:val="32"/>
          <w:rtl/>
          <w:lang w:bidi="ar-DZ"/>
        </w:rPr>
        <w:t xml:space="preserve"> </w:t>
      </w:r>
      <w:r w:rsidR="00184D83" w:rsidRPr="0078560C">
        <w:rPr>
          <w:rFonts w:ascii="Traditional Arabic" w:hAnsi="Traditional Arabic" w:cs="Traditional Arabic" w:hint="cs"/>
          <w:sz w:val="32"/>
          <w:szCs w:val="32"/>
          <w:rtl/>
          <w:lang w:bidi="ar-DZ"/>
        </w:rPr>
        <w:t xml:space="preserve">بنسبة </w:t>
      </w:r>
      <w:r w:rsidR="00184D83" w:rsidRPr="0078560C">
        <w:rPr>
          <w:rFonts w:ascii="Traditional Arabic" w:hAnsi="Traditional Arabic" w:cs="Traditional Arabic" w:hint="cs"/>
          <w:sz w:val="24"/>
          <w:szCs w:val="24"/>
          <w:rtl/>
          <w:lang w:bidi="ar-DZ"/>
        </w:rPr>
        <w:t xml:space="preserve">38.5 </w:t>
      </w:r>
      <w:r w:rsidR="00184D83" w:rsidRPr="0078560C">
        <w:rPr>
          <w:rFonts w:ascii="Traditional Arabic" w:hAnsi="Traditional Arabic" w:cs="Traditional Arabic"/>
          <w:sz w:val="24"/>
          <w:szCs w:val="24"/>
          <w:rtl/>
          <w:lang w:bidi="ar-DZ"/>
        </w:rPr>
        <w:t>%</w:t>
      </w:r>
      <w:r w:rsidR="00184D83" w:rsidRPr="0078560C">
        <w:rPr>
          <w:rFonts w:ascii="Traditional Arabic" w:hAnsi="Traditional Arabic" w:cs="Traditional Arabic" w:hint="cs"/>
          <w:sz w:val="32"/>
          <w:szCs w:val="32"/>
          <w:rtl/>
          <w:lang w:bidi="ar-DZ"/>
        </w:rPr>
        <w:t xml:space="preserve">، ومؤشر فوتسي </w:t>
      </w:r>
      <w:r w:rsidR="00184D83" w:rsidRPr="0078560C">
        <w:rPr>
          <w:rFonts w:ascii="Traditional Arabic" w:hAnsi="Traditional Arabic" w:cs="Traditional Arabic"/>
          <w:sz w:val="24"/>
          <w:szCs w:val="24"/>
          <w:lang w:bidi="ar-DZ"/>
        </w:rPr>
        <w:t>FT-SE 100</w:t>
      </w:r>
      <w:r w:rsidR="00184D83" w:rsidRPr="0078560C">
        <w:rPr>
          <w:rFonts w:ascii="Traditional Arabic" w:hAnsi="Traditional Arabic" w:cs="Traditional Arabic"/>
          <w:sz w:val="32"/>
          <w:szCs w:val="32"/>
          <w:lang w:bidi="ar-DZ"/>
        </w:rPr>
        <w:t>)</w:t>
      </w:r>
      <w:r w:rsidR="00184D83" w:rsidRPr="0078560C">
        <w:rPr>
          <w:rFonts w:ascii="Traditional Arabic" w:hAnsi="Traditional Arabic" w:cs="Traditional Arabic" w:hint="cs"/>
          <w:sz w:val="32"/>
          <w:szCs w:val="32"/>
          <w:rtl/>
          <w:lang w:bidi="ar-DZ"/>
        </w:rPr>
        <w:t xml:space="preserve"> </w:t>
      </w:r>
      <w:r w:rsidR="00184D83" w:rsidRPr="0078560C">
        <w:rPr>
          <w:rFonts w:ascii="Traditional Arabic" w:hAnsi="Traditional Arabic" w:cs="Traditional Arabic"/>
          <w:sz w:val="32"/>
          <w:szCs w:val="32"/>
          <w:lang w:bidi="ar-DZ"/>
        </w:rPr>
        <w:t>(</w:t>
      </w:r>
      <w:r w:rsidR="00184D83" w:rsidRPr="0078560C">
        <w:rPr>
          <w:rFonts w:ascii="Traditional Arabic" w:hAnsi="Traditional Arabic" w:cs="Traditional Arabic" w:hint="cs"/>
          <w:sz w:val="32"/>
          <w:szCs w:val="32"/>
          <w:rtl/>
          <w:lang w:bidi="ar-DZ"/>
        </w:rPr>
        <w:t xml:space="preserve"> بنحو </w:t>
      </w:r>
      <w:r w:rsidR="00184D83" w:rsidRPr="0078560C">
        <w:rPr>
          <w:rFonts w:ascii="Traditional Arabic" w:hAnsi="Traditional Arabic" w:cs="Traditional Arabic" w:hint="cs"/>
          <w:sz w:val="24"/>
          <w:szCs w:val="24"/>
          <w:rtl/>
          <w:lang w:bidi="ar-DZ"/>
        </w:rPr>
        <w:t xml:space="preserve">31.3 </w:t>
      </w:r>
      <w:r w:rsidR="00184D83" w:rsidRPr="0078560C">
        <w:rPr>
          <w:rFonts w:ascii="Traditional Arabic" w:hAnsi="Traditional Arabic" w:cs="Traditional Arabic"/>
          <w:sz w:val="24"/>
          <w:szCs w:val="24"/>
          <w:rtl/>
          <w:lang w:bidi="ar-DZ"/>
        </w:rPr>
        <w:t>%</w:t>
      </w:r>
      <w:r w:rsidR="00184D83" w:rsidRPr="0078560C">
        <w:rPr>
          <w:rFonts w:ascii="Traditional Arabic" w:hAnsi="Traditional Arabic" w:cs="Traditional Arabic" w:hint="cs"/>
          <w:sz w:val="32"/>
          <w:szCs w:val="32"/>
          <w:rtl/>
          <w:lang w:bidi="ar-DZ"/>
        </w:rPr>
        <w:t xml:space="preserve">، ومؤشر نيكاي </w:t>
      </w:r>
      <w:r w:rsidR="00184D83" w:rsidRPr="0078560C">
        <w:rPr>
          <w:rFonts w:ascii="Traditional Arabic" w:hAnsi="Traditional Arabic" w:cs="Traditional Arabic"/>
          <w:sz w:val="24"/>
          <w:szCs w:val="24"/>
          <w:lang w:bidi="ar-DZ"/>
        </w:rPr>
        <w:t>Nikkei</w:t>
      </w:r>
      <w:r w:rsidR="00184D83" w:rsidRPr="0078560C">
        <w:rPr>
          <w:rFonts w:ascii="Traditional Arabic" w:hAnsi="Traditional Arabic" w:cs="Traditional Arabic"/>
          <w:sz w:val="32"/>
          <w:szCs w:val="32"/>
          <w:lang w:bidi="ar-DZ"/>
        </w:rPr>
        <w:t>)</w:t>
      </w:r>
      <w:r w:rsidR="00184D83" w:rsidRPr="0078560C">
        <w:rPr>
          <w:rFonts w:ascii="Traditional Arabic" w:hAnsi="Traditional Arabic" w:cs="Traditional Arabic" w:hint="cs"/>
          <w:sz w:val="32"/>
          <w:szCs w:val="32"/>
          <w:rtl/>
          <w:lang w:bidi="ar-DZ"/>
        </w:rPr>
        <w:t xml:space="preserve"> </w:t>
      </w:r>
      <w:r w:rsidR="00184D83" w:rsidRPr="0078560C">
        <w:rPr>
          <w:rFonts w:ascii="Traditional Arabic" w:hAnsi="Traditional Arabic" w:cs="Traditional Arabic"/>
          <w:sz w:val="32"/>
          <w:szCs w:val="32"/>
          <w:lang w:bidi="ar-DZ"/>
        </w:rPr>
        <w:t xml:space="preserve"> (</w:t>
      </w:r>
      <w:r w:rsidR="00184D83" w:rsidRPr="0078560C">
        <w:rPr>
          <w:rFonts w:ascii="Traditional Arabic" w:hAnsi="Traditional Arabic" w:cs="Traditional Arabic" w:hint="cs"/>
          <w:sz w:val="32"/>
          <w:szCs w:val="32"/>
          <w:rtl/>
          <w:lang w:bidi="ar-DZ"/>
        </w:rPr>
        <w:t xml:space="preserve">بنحو </w:t>
      </w:r>
      <w:r w:rsidR="00184D83" w:rsidRPr="0078560C">
        <w:rPr>
          <w:rFonts w:ascii="Traditional Arabic" w:hAnsi="Traditional Arabic" w:cs="Traditional Arabic" w:hint="cs"/>
          <w:sz w:val="24"/>
          <w:szCs w:val="24"/>
          <w:rtl/>
          <w:lang w:bidi="ar-DZ"/>
        </w:rPr>
        <w:t xml:space="preserve">42.1 </w:t>
      </w:r>
      <w:r w:rsidR="00184D83" w:rsidRPr="0078560C">
        <w:rPr>
          <w:rFonts w:ascii="Traditional Arabic" w:hAnsi="Traditional Arabic" w:cs="Traditional Arabic"/>
          <w:sz w:val="24"/>
          <w:szCs w:val="24"/>
          <w:rtl/>
          <w:lang w:bidi="ar-DZ"/>
        </w:rPr>
        <w:t>%</w:t>
      </w:r>
      <w:r w:rsidR="00184D83" w:rsidRPr="0078560C">
        <w:rPr>
          <w:rFonts w:ascii="Traditional Arabic" w:hAnsi="Traditional Arabic" w:cs="Traditional Arabic" w:hint="cs"/>
          <w:sz w:val="32"/>
          <w:szCs w:val="32"/>
          <w:rtl/>
          <w:lang w:bidi="ar-DZ"/>
        </w:rPr>
        <w:t xml:space="preserve">، ومؤشر كاك </w:t>
      </w:r>
      <w:r w:rsidR="00184D83" w:rsidRPr="0078560C">
        <w:rPr>
          <w:rFonts w:ascii="Traditional Arabic" w:hAnsi="Traditional Arabic" w:cs="Traditional Arabic" w:hint="cs"/>
          <w:sz w:val="24"/>
          <w:szCs w:val="24"/>
          <w:rtl/>
          <w:lang w:bidi="ar-DZ"/>
        </w:rPr>
        <w:t xml:space="preserve">40 </w:t>
      </w:r>
      <w:r w:rsidR="00184D83" w:rsidRPr="0078560C">
        <w:rPr>
          <w:rFonts w:ascii="Traditional Arabic" w:hAnsi="Traditional Arabic" w:cs="Traditional Arabic" w:hint="cs"/>
          <w:sz w:val="32"/>
          <w:szCs w:val="32"/>
          <w:rtl/>
          <w:lang w:bidi="ar-DZ"/>
        </w:rPr>
        <w:t xml:space="preserve">بنحو </w:t>
      </w:r>
      <w:r w:rsidR="00184D83" w:rsidRPr="0078560C">
        <w:rPr>
          <w:rFonts w:ascii="Traditional Arabic" w:hAnsi="Traditional Arabic" w:cs="Traditional Arabic" w:hint="cs"/>
          <w:sz w:val="24"/>
          <w:szCs w:val="24"/>
          <w:rtl/>
          <w:lang w:bidi="ar-DZ"/>
        </w:rPr>
        <w:t xml:space="preserve">42.7 </w:t>
      </w:r>
      <w:r w:rsidR="00184D83" w:rsidRPr="0078560C">
        <w:rPr>
          <w:rFonts w:ascii="Traditional Arabic" w:hAnsi="Traditional Arabic" w:cs="Traditional Arabic"/>
          <w:sz w:val="24"/>
          <w:szCs w:val="24"/>
          <w:rtl/>
          <w:lang w:bidi="ar-DZ"/>
        </w:rPr>
        <w:t>%</w:t>
      </w:r>
      <w:r w:rsidR="00184D83" w:rsidRPr="0078560C">
        <w:rPr>
          <w:rFonts w:ascii="Traditional Arabic" w:hAnsi="Traditional Arabic" w:cs="Traditional Arabic" w:hint="cs"/>
          <w:sz w:val="32"/>
          <w:szCs w:val="32"/>
          <w:rtl/>
          <w:lang w:bidi="ar-DZ"/>
        </w:rPr>
        <w:t xml:space="preserve">.  </w:t>
      </w:r>
    </w:p>
    <w:p w:rsidR="00010F8B" w:rsidRPr="0078560C" w:rsidRDefault="00560A38" w:rsidP="00E73D6B">
      <w:pPr>
        <w:tabs>
          <w:tab w:val="right" w:pos="567"/>
        </w:tabs>
        <w:bidi/>
        <w:spacing w:after="0"/>
        <w:jc w:val="both"/>
        <w:rPr>
          <w:rFonts w:ascii="Traditional Arabic" w:hAnsi="Traditional Arabic" w:cs="Traditional Arabic"/>
          <w:sz w:val="32"/>
          <w:szCs w:val="32"/>
          <w:rtl/>
          <w:lang w:bidi="ar-DZ"/>
        </w:rPr>
      </w:pPr>
      <w:r w:rsidRPr="0078560C">
        <w:rPr>
          <w:rFonts w:ascii="Traditional Arabic" w:hAnsi="Traditional Arabic" w:cs="Traditional Arabic" w:hint="cs"/>
          <w:sz w:val="32"/>
          <w:szCs w:val="32"/>
          <w:rtl/>
          <w:lang w:bidi="ar-DZ"/>
        </w:rPr>
        <w:t xml:space="preserve">        وفيما يتعلق بالأداء الفردي للأسواق، فقد انخفضت مؤشرات الصندوق</w:t>
      </w:r>
      <w:r w:rsidR="00236C66" w:rsidRPr="00236C66">
        <w:rPr>
          <w:rStyle w:val="Appelnotedebasdep"/>
          <w:rFonts w:ascii="Traditional Arabic" w:hAnsi="Traditional Arabic" w:cs="Traditional Arabic"/>
          <w:sz w:val="32"/>
          <w:szCs w:val="32"/>
          <w:lang w:bidi="ar-DZ"/>
        </w:rPr>
        <w:footnoteReference w:customMarkFollows="1" w:id="19"/>
        <w:sym w:font="Symbol" w:char="F02A"/>
      </w:r>
      <w:r w:rsidRPr="0078560C">
        <w:rPr>
          <w:rFonts w:ascii="Traditional Arabic" w:hAnsi="Traditional Arabic" w:cs="Traditional Arabic" w:hint="cs"/>
          <w:sz w:val="32"/>
          <w:szCs w:val="32"/>
          <w:rtl/>
          <w:lang w:bidi="ar-DZ"/>
        </w:rPr>
        <w:t xml:space="preserve"> لجميع أسواق الأوراق المالية العربية خلال عام </w:t>
      </w:r>
      <w:r w:rsidRPr="0078560C">
        <w:rPr>
          <w:rFonts w:ascii="Traditional Arabic" w:hAnsi="Traditional Arabic" w:cs="Traditional Arabic" w:hint="cs"/>
          <w:sz w:val="24"/>
          <w:szCs w:val="24"/>
          <w:rtl/>
          <w:lang w:bidi="ar-DZ"/>
        </w:rPr>
        <w:t xml:space="preserve">2008 </w:t>
      </w:r>
      <w:r w:rsidRPr="0078560C">
        <w:rPr>
          <w:rFonts w:ascii="Traditional Arabic" w:hAnsi="Traditional Arabic" w:cs="Traditional Arabic" w:hint="cs"/>
          <w:sz w:val="32"/>
          <w:szCs w:val="32"/>
          <w:rtl/>
          <w:lang w:bidi="ar-DZ"/>
        </w:rPr>
        <w:t xml:space="preserve">وفي الثلاثي الأول من </w:t>
      </w:r>
      <w:r w:rsidRPr="0078560C">
        <w:rPr>
          <w:rFonts w:ascii="Traditional Arabic" w:hAnsi="Traditional Arabic" w:cs="Traditional Arabic" w:hint="cs"/>
          <w:sz w:val="24"/>
          <w:szCs w:val="24"/>
          <w:rtl/>
          <w:lang w:bidi="ar-DZ"/>
        </w:rPr>
        <w:t>2009</w:t>
      </w:r>
      <w:r w:rsidRPr="0078560C">
        <w:rPr>
          <w:rFonts w:ascii="Traditional Arabic" w:hAnsi="Traditional Arabic" w:cs="Traditional Arabic" w:hint="cs"/>
          <w:sz w:val="32"/>
          <w:szCs w:val="32"/>
          <w:rtl/>
          <w:lang w:bidi="ar-DZ"/>
        </w:rPr>
        <w:t xml:space="preserve">، باستثناء بورصة الأوراق المالية بتونس، وتفاوتت بشكل كبير، فتراوحت ما بين حوالي </w:t>
      </w:r>
      <w:r w:rsidRPr="0078560C">
        <w:rPr>
          <w:rFonts w:ascii="Traditional Arabic" w:hAnsi="Traditional Arabic" w:cs="Traditional Arabic" w:hint="cs"/>
          <w:sz w:val="24"/>
          <w:szCs w:val="24"/>
          <w:rtl/>
          <w:lang w:bidi="ar-DZ"/>
        </w:rPr>
        <w:t xml:space="preserve">75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لسوق دبي المالي ونحو </w:t>
      </w:r>
      <w:r w:rsidRPr="0078560C">
        <w:rPr>
          <w:rFonts w:ascii="Traditional Arabic" w:hAnsi="Traditional Arabic" w:cs="Traditional Arabic" w:hint="cs"/>
          <w:sz w:val="24"/>
          <w:szCs w:val="24"/>
          <w:rtl/>
          <w:lang w:bidi="ar-DZ"/>
        </w:rPr>
        <w:t xml:space="preserve">3.8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في بورصة الجزائر. وانخفض مؤشر الصندوق لسوق الأسهم السعودي بنحو </w:t>
      </w:r>
      <w:r w:rsidRPr="0078560C">
        <w:rPr>
          <w:rFonts w:ascii="Traditional Arabic" w:hAnsi="Traditional Arabic" w:cs="Traditional Arabic" w:hint="cs"/>
          <w:sz w:val="24"/>
          <w:szCs w:val="24"/>
          <w:rtl/>
          <w:lang w:bidi="ar-DZ"/>
        </w:rPr>
        <w:t>60</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وسوق الدوحة للأوراق المالية بنسبة </w:t>
      </w:r>
      <w:r w:rsidRPr="0078560C">
        <w:rPr>
          <w:rFonts w:ascii="Traditional Arabic" w:hAnsi="Traditional Arabic" w:cs="Traditional Arabic" w:hint="cs"/>
          <w:sz w:val="24"/>
          <w:szCs w:val="24"/>
          <w:rtl/>
          <w:lang w:bidi="ar-DZ"/>
        </w:rPr>
        <w:t xml:space="preserve">56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بورصتي القاهرة والإسكندرية بنحو </w:t>
      </w:r>
      <w:r w:rsidRPr="0078560C">
        <w:rPr>
          <w:rFonts w:ascii="Traditional Arabic" w:hAnsi="Traditional Arabic" w:cs="Traditional Arabic"/>
          <w:sz w:val="24"/>
          <w:szCs w:val="24"/>
          <w:lang w:bidi="ar-DZ"/>
        </w:rPr>
        <w:t>51</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سوق الكويت بـ </w:t>
      </w:r>
      <w:r w:rsidRPr="0078560C">
        <w:rPr>
          <w:rFonts w:ascii="Traditional Arabic" w:hAnsi="Traditional Arabic" w:cs="Traditional Arabic" w:hint="cs"/>
          <w:sz w:val="24"/>
          <w:szCs w:val="24"/>
          <w:rtl/>
          <w:lang w:bidi="ar-DZ"/>
        </w:rPr>
        <w:t xml:space="preserve">49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سوق عمان بنسبة </w:t>
      </w:r>
      <w:r w:rsidRPr="0078560C">
        <w:rPr>
          <w:rFonts w:ascii="Traditional Arabic" w:hAnsi="Traditional Arabic" w:cs="Traditional Arabic" w:hint="cs"/>
          <w:sz w:val="24"/>
          <w:szCs w:val="24"/>
          <w:rtl/>
          <w:lang w:bidi="ar-DZ"/>
        </w:rPr>
        <w:t>49</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سوق أبو ظبي للأوراق المالية بنحو </w:t>
      </w:r>
      <w:r w:rsidRPr="0078560C">
        <w:rPr>
          <w:rFonts w:ascii="Traditional Arabic" w:hAnsi="Traditional Arabic" w:cs="Traditional Arabic" w:hint="cs"/>
          <w:sz w:val="24"/>
          <w:szCs w:val="24"/>
          <w:rtl/>
          <w:lang w:bidi="ar-DZ"/>
        </w:rPr>
        <w:t xml:space="preserve">48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بالإضافة إلى انخفاض الأسواق المالية للبحرين، الأردن، المغرب، فلسطين، لبنان، السودان، بنحو، </w:t>
      </w:r>
      <w:r w:rsidRPr="0078560C">
        <w:rPr>
          <w:rFonts w:ascii="Traditional Arabic" w:hAnsi="Traditional Arabic" w:cs="Traditional Arabic" w:hint="cs"/>
          <w:sz w:val="24"/>
          <w:szCs w:val="24"/>
          <w:rtl/>
          <w:lang w:bidi="ar-DZ"/>
        </w:rPr>
        <w:t xml:space="preserve">43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24"/>
          <w:szCs w:val="24"/>
          <w:rtl/>
          <w:lang w:bidi="ar-DZ"/>
        </w:rPr>
        <w:t>22</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24"/>
          <w:szCs w:val="24"/>
          <w:rtl/>
          <w:lang w:bidi="ar-DZ"/>
        </w:rPr>
        <w:t xml:space="preserve">19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24"/>
          <w:szCs w:val="24"/>
          <w:rtl/>
          <w:lang w:bidi="ar-DZ"/>
        </w:rPr>
        <w:t>18</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24"/>
          <w:szCs w:val="24"/>
          <w:rtl/>
          <w:lang w:bidi="ar-DZ"/>
        </w:rPr>
        <w:t xml:space="preserve">13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24"/>
          <w:szCs w:val="24"/>
          <w:rtl/>
          <w:lang w:bidi="ar-DZ"/>
        </w:rPr>
        <w:t>6</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على الترتيب (</w:t>
      </w:r>
      <w:r w:rsidR="00522ADC">
        <w:rPr>
          <w:rFonts w:ascii="Traditional Arabic" w:hAnsi="Traditional Arabic" w:cs="Traditional Arabic" w:hint="cs"/>
          <w:sz w:val="32"/>
          <w:szCs w:val="32"/>
          <w:rtl/>
          <w:lang w:bidi="ar-DZ"/>
        </w:rPr>
        <w:t xml:space="preserve">أنظر </w:t>
      </w:r>
      <w:r w:rsidRPr="0078560C">
        <w:rPr>
          <w:rFonts w:ascii="Traditional Arabic" w:hAnsi="Traditional Arabic" w:cs="Traditional Arabic" w:hint="cs"/>
          <w:sz w:val="32"/>
          <w:szCs w:val="32"/>
          <w:rtl/>
          <w:lang w:bidi="ar-DZ"/>
        </w:rPr>
        <w:t>الشكل</w:t>
      </w:r>
      <w:r w:rsidR="00E73D6B">
        <w:rPr>
          <w:rFonts w:ascii="Traditional Arabic" w:hAnsi="Traditional Arabic" w:cs="Traditional Arabic" w:hint="cs"/>
          <w:sz w:val="32"/>
          <w:szCs w:val="32"/>
          <w:rtl/>
          <w:lang w:bidi="ar-DZ"/>
        </w:rPr>
        <w:t xml:space="preserve"> رقم </w:t>
      </w:r>
      <w:r w:rsidR="00E73D6B" w:rsidRPr="00E73D6B">
        <w:rPr>
          <w:rFonts w:ascii="Traditional Arabic" w:hAnsi="Traditional Arabic" w:cs="Traditional Arabic" w:hint="cs"/>
          <w:sz w:val="24"/>
          <w:szCs w:val="24"/>
          <w:rtl/>
          <w:lang w:bidi="ar-DZ"/>
        </w:rPr>
        <w:t>20</w:t>
      </w:r>
      <w:r w:rsidRPr="0078560C">
        <w:rPr>
          <w:rFonts w:ascii="Traditional Arabic" w:hAnsi="Traditional Arabic" w:cs="Traditional Arabic" w:hint="cs"/>
          <w:sz w:val="32"/>
          <w:szCs w:val="32"/>
          <w:rtl/>
          <w:lang w:bidi="ar-DZ"/>
        </w:rPr>
        <w:t>).</w:t>
      </w:r>
    </w:p>
    <w:p w:rsidR="00560A38" w:rsidRPr="009832D3" w:rsidRDefault="00560A38" w:rsidP="0067613E">
      <w:pPr>
        <w:tabs>
          <w:tab w:val="right" w:pos="567"/>
          <w:tab w:val="right" w:pos="1132"/>
          <w:tab w:val="right" w:pos="7936"/>
          <w:tab w:val="right" w:pos="8219"/>
        </w:tabs>
        <w:bidi/>
        <w:spacing w:after="0" w:line="240" w:lineRule="auto"/>
        <w:jc w:val="center"/>
        <w:rPr>
          <w:rFonts w:ascii="Traditional Arabic" w:hAnsi="Traditional Arabic" w:cs="Traditional Arabic"/>
          <w:sz w:val="32"/>
          <w:szCs w:val="32"/>
          <w:rtl/>
          <w:lang w:bidi="ar-DZ"/>
        </w:rPr>
      </w:pPr>
      <w:r w:rsidRPr="009832D3">
        <w:rPr>
          <w:rFonts w:ascii="Traditional Arabic" w:hAnsi="Traditional Arabic" w:cs="Traditional Arabic" w:hint="cs"/>
          <w:sz w:val="32"/>
          <w:szCs w:val="32"/>
          <w:rtl/>
          <w:lang w:bidi="ar-DZ"/>
        </w:rPr>
        <w:t xml:space="preserve">الشكل رقم </w:t>
      </w:r>
      <w:r w:rsidR="00E73D6B">
        <w:rPr>
          <w:rFonts w:ascii="Traditional Arabic" w:hAnsi="Traditional Arabic" w:cs="Traditional Arabic" w:hint="cs"/>
          <w:sz w:val="24"/>
          <w:szCs w:val="24"/>
          <w:rtl/>
          <w:lang w:bidi="ar-DZ"/>
        </w:rPr>
        <w:t>20</w:t>
      </w:r>
      <w:r w:rsidRPr="009832D3">
        <w:rPr>
          <w:rFonts w:ascii="Traditional Arabic" w:hAnsi="Traditional Arabic" w:cs="Traditional Arabic" w:hint="cs"/>
          <w:sz w:val="32"/>
          <w:szCs w:val="32"/>
          <w:rtl/>
          <w:lang w:bidi="ar-DZ"/>
        </w:rPr>
        <w:t>: التغير في مؤشرا</w:t>
      </w:r>
      <w:r w:rsidR="00767740">
        <w:rPr>
          <w:rFonts w:ascii="Traditional Arabic" w:hAnsi="Traditional Arabic" w:cs="Traditional Arabic" w:hint="cs"/>
          <w:sz w:val="32"/>
          <w:szCs w:val="32"/>
          <w:rtl/>
          <w:lang w:bidi="ar-DZ"/>
        </w:rPr>
        <w:t>ت أسواق الأسهم في الدول العربية</w:t>
      </w:r>
      <w:r w:rsidR="003927B8">
        <w:rPr>
          <w:rFonts w:ascii="Traditional Arabic" w:hAnsi="Traditional Arabic" w:cs="Traditional Arabic" w:hint="cs"/>
          <w:sz w:val="32"/>
          <w:szCs w:val="32"/>
          <w:rtl/>
          <w:lang w:bidi="ar-DZ"/>
        </w:rPr>
        <w:t xml:space="preserve"> خلال الفترة </w:t>
      </w:r>
      <w:r w:rsidR="003927B8" w:rsidRPr="003927B8">
        <w:rPr>
          <w:rFonts w:ascii="Traditional Arabic" w:hAnsi="Traditional Arabic" w:cs="Traditional Arabic" w:hint="cs"/>
          <w:sz w:val="24"/>
          <w:szCs w:val="24"/>
          <w:rtl/>
          <w:lang w:bidi="ar-DZ"/>
        </w:rPr>
        <w:t>2008-2009</w:t>
      </w:r>
    </w:p>
    <w:p w:rsidR="00560A38" w:rsidRDefault="00884187" w:rsidP="00884187">
      <w:pPr>
        <w:tabs>
          <w:tab w:val="right" w:pos="567"/>
          <w:tab w:val="right" w:pos="1132"/>
          <w:tab w:val="right" w:pos="7936"/>
          <w:tab w:val="right" w:pos="8219"/>
        </w:tabs>
        <w:bidi/>
        <w:spacing w:after="0"/>
        <w:jc w:val="center"/>
        <w:rPr>
          <w:rFonts w:ascii="Traditional Arabic" w:hAnsi="Traditional Arabic" w:cs="Traditional Arabic"/>
          <w:sz w:val="28"/>
          <w:szCs w:val="28"/>
          <w:lang w:bidi="ar-DZ"/>
        </w:rPr>
      </w:pPr>
      <w:r>
        <w:rPr>
          <w:rFonts w:ascii="Traditional Arabic" w:hAnsi="Traditional Arabic" w:cs="Traditional Arabic" w:hint="cs"/>
          <w:noProof/>
          <w:sz w:val="28"/>
          <w:szCs w:val="28"/>
        </w:rPr>
        <w:drawing>
          <wp:inline distT="0" distB="0" distL="0" distR="0">
            <wp:extent cx="4413324" cy="2672656"/>
            <wp:effectExtent l="19050" t="0" r="6276"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417436" cy="2675146"/>
                    </a:xfrm>
                    <a:prstGeom prst="rect">
                      <a:avLst/>
                    </a:prstGeom>
                    <a:noFill/>
                    <a:ln w="9525">
                      <a:noFill/>
                      <a:miter lim="800000"/>
                      <a:headEnd/>
                      <a:tailEnd/>
                    </a:ln>
                  </pic:spPr>
                </pic:pic>
              </a:graphicData>
            </a:graphic>
          </wp:inline>
        </w:drawing>
      </w:r>
    </w:p>
    <w:p w:rsidR="00560A38" w:rsidRDefault="00560A38" w:rsidP="00560A38">
      <w:pPr>
        <w:tabs>
          <w:tab w:val="right" w:pos="567"/>
        </w:tabs>
        <w:bidi/>
        <w:spacing w:after="0" w:line="240" w:lineRule="auto"/>
        <w:jc w:val="both"/>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 xml:space="preserve">( التغير </w:t>
      </w:r>
      <w:r w:rsidRPr="00992B1E">
        <w:rPr>
          <w:rFonts w:ascii="Traditional Arabic" w:hAnsi="Traditional Arabic" w:cs="Traditional Arabic"/>
          <w:sz w:val="20"/>
          <w:szCs w:val="20"/>
          <w:rtl/>
          <w:lang w:bidi="ar-DZ"/>
        </w:rPr>
        <w:t>%</w:t>
      </w:r>
      <w:r>
        <w:rPr>
          <w:rFonts w:ascii="Traditional Arabic" w:hAnsi="Traditional Arabic" w:cs="Traditional Arabic" w:hint="cs"/>
          <w:sz w:val="24"/>
          <w:szCs w:val="24"/>
          <w:rtl/>
          <w:lang w:bidi="ar-DZ"/>
        </w:rPr>
        <w:t xml:space="preserve"> ، الدراسة من </w:t>
      </w:r>
      <w:r w:rsidRPr="00970E1F">
        <w:rPr>
          <w:rFonts w:ascii="Traditional Arabic" w:hAnsi="Traditional Arabic" w:cs="Traditional Arabic" w:hint="cs"/>
          <w:sz w:val="20"/>
          <w:szCs w:val="20"/>
          <w:rtl/>
          <w:lang w:bidi="ar-DZ"/>
        </w:rPr>
        <w:t>1</w:t>
      </w:r>
      <w:r>
        <w:rPr>
          <w:rFonts w:ascii="Traditional Arabic" w:hAnsi="Traditional Arabic" w:cs="Traditional Arabic" w:hint="cs"/>
          <w:sz w:val="24"/>
          <w:szCs w:val="24"/>
          <w:rtl/>
          <w:lang w:bidi="ar-DZ"/>
        </w:rPr>
        <w:t xml:space="preserve"> جانفي </w:t>
      </w:r>
      <w:r w:rsidRPr="00970E1F">
        <w:rPr>
          <w:rFonts w:ascii="Traditional Arabic" w:hAnsi="Traditional Arabic" w:cs="Traditional Arabic" w:hint="cs"/>
          <w:sz w:val="20"/>
          <w:szCs w:val="20"/>
          <w:rtl/>
          <w:lang w:bidi="ar-DZ"/>
        </w:rPr>
        <w:t xml:space="preserve">2008 </w:t>
      </w:r>
      <w:r>
        <w:rPr>
          <w:rFonts w:ascii="Traditional Arabic" w:hAnsi="Traditional Arabic" w:cs="Traditional Arabic" w:hint="cs"/>
          <w:sz w:val="24"/>
          <w:szCs w:val="24"/>
          <w:rtl/>
          <w:lang w:bidi="ar-DZ"/>
        </w:rPr>
        <w:t xml:space="preserve">إلى </w:t>
      </w:r>
      <w:r w:rsidRPr="00970E1F">
        <w:rPr>
          <w:rFonts w:ascii="Traditional Arabic" w:hAnsi="Traditional Arabic" w:cs="Traditional Arabic" w:hint="cs"/>
          <w:sz w:val="20"/>
          <w:szCs w:val="20"/>
          <w:rtl/>
          <w:lang w:bidi="ar-DZ"/>
        </w:rPr>
        <w:t xml:space="preserve">31 </w:t>
      </w:r>
      <w:r>
        <w:rPr>
          <w:rFonts w:ascii="Traditional Arabic" w:hAnsi="Traditional Arabic" w:cs="Traditional Arabic" w:hint="cs"/>
          <w:sz w:val="24"/>
          <w:szCs w:val="24"/>
          <w:rtl/>
          <w:lang w:bidi="ar-DZ"/>
        </w:rPr>
        <w:t xml:space="preserve">ديسمبر </w:t>
      </w:r>
      <w:r w:rsidRPr="00970E1F">
        <w:rPr>
          <w:rFonts w:ascii="Traditional Arabic" w:hAnsi="Traditional Arabic" w:cs="Traditional Arabic" w:hint="cs"/>
          <w:sz w:val="20"/>
          <w:szCs w:val="20"/>
          <w:rtl/>
          <w:lang w:bidi="ar-DZ"/>
        </w:rPr>
        <w:t xml:space="preserve">2009 </w:t>
      </w:r>
      <w:r>
        <w:rPr>
          <w:rFonts w:ascii="Traditional Arabic" w:hAnsi="Traditional Arabic" w:cs="Traditional Arabic" w:hint="cs"/>
          <w:sz w:val="24"/>
          <w:szCs w:val="24"/>
          <w:rtl/>
          <w:lang w:bidi="ar-DZ"/>
        </w:rPr>
        <w:t xml:space="preserve">بالنسبة إلى الأردن، المغرب، الجزائر، تونس، السودان، فلسطين، لبنان، مصر. ومن </w:t>
      </w:r>
      <w:r w:rsidRPr="00992B1E">
        <w:rPr>
          <w:rFonts w:ascii="Traditional Arabic" w:hAnsi="Traditional Arabic" w:cs="Traditional Arabic" w:hint="cs"/>
          <w:sz w:val="20"/>
          <w:szCs w:val="20"/>
          <w:rtl/>
          <w:lang w:bidi="ar-DZ"/>
        </w:rPr>
        <w:t>1</w:t>
      </w:r>
      <w:r>
        <w:rPr>
          <w:rFonts w:ascii="Traditional Arabic" w:hAnsi="Traditional Arabic" w:cs="Traditional Arabic" w:hint="cs"/>
          <w:sz w:val="24"/>
          <w:szCs w:val="24"/>
          <w:rtl/>
          <w:lang w:bidi="ar-DZ"/>
        </w:rPr>
        <w:t xml:space="preserve"> جانفي </w:t>
      </w:r>
      <w:r w:rsidRPr="00992B1E">
        <w:rPr>
          <w:rFonts w:ascii="Traditional Arabic" w:hAnsi="Traditional Arabic" w:cs="Traditional Arabic" w:hint="cs"/>
          <w:sz w:val="20"/>
          <w:szCs w:val="20"/>
          <w:rtl/>
          <w:lang w:bidi="ar-DZ"/>
        </w:rPr>
        <w:t xml:space="preserve">2008 </w:t>
      </w:r>
      <w:r>
        <w:rPr>
          <w:rFonts w:ascii="Traditional Arabic" w:hAnsi="Traditional Arabic" w:cs="Traditional Arabic" w:hint="cs"/>
          <w:sz w:val="24"/>
          <w:szCs w:val="24"/>
          <w:rtl/>
          <w:lang w:bidi="ar-DZ"/>
        </w:rPr>
        <w:t xml:space="preserve">إلى </w:t>
      </w:r>
      <w:r w:rsidRPr="00992B1E">
        <w:rPr>
          <w:rFonts w:ascii="Traditional Arabic" w:hAnsi="Traditional Arabic" w:cs="Traditional Arabic" w:hint="cs"/>
          <w:sz w:val="20"/>
          <w:szCs w:val="20"/>
          <w:rtl/>
          <w:lang w:bidi="ar-DZ"/>
        </w:rPr>
        <w:t>3</w:t>
      </w:r>
      <w:r>
        <w:rPr>
          <w:rFonts w:ascii="Traditional Arabic" w:hAnsi="Traditional Arabic" w:cs="Traditional Arabic" w:hint="cs"/>
          <w:sz w:val="24"/>
          <w:szCs w:val="24"/>
          <w:rtl/>
          <w:lang w:bidi="ar-DZ"/>
        </w:rPr>
        <w:t xml:space="preserve"> مارس </w:t>
      </w:r>
      <w:r w:rsidRPr="00992B1E">
        <w:rPr>
          <w:rFonts w:ascii="Traditional Arabic" w:hAnsi="Traditional Arabic" w:cs="Traditional Arabic" w:hint="cs"/>
          <w:sz w:val="20"/>
          <w:szCs w:val="20"/>
          <w:rtl/>
          <w:lang w:bidi="ar-DZ"/>
        </w:rPr>
        <w:t xml:space="preserve">2009 </w:t>
      </w:r>
      <w:r>
        <w:rPr>
          <w:rFonts w:ascii="Traditional Arabic" w:hAnsi="Traditional Arabic" w:cs="Traditional Arabic" w:hint="cs"/>
          <w:sz w:val="24"/>
          <w:szCs w:val="24"/>
          <w:rtl/>
          <w:lang w:bidi="ar-DZ"/>
        </w:rPr>
        <w:t xml:space="preserve">بالنسبة إلى دبي، السعودية، قطر، مؤشر ستاندرد آند بور، الكويت، عمان، أبوظبي، البحرين ).     </w:t>
      </w:r>
    </w:p>
    <w:p w:rsidR="00560A38" w:rsidRPr="00767740" w:rsidRDefault="00560A38" w:rsidP="00560A38">
      <w:pPr>
        <w:tabs>
          <w:tab w:val="right" w:pos="567"/>
        </w:tabs>
        <w:bidi/>
        <w:spacing w:after="0" w:line="240" w:lineRule="auto"/>
        <w:jc w:val="both"/>
        <w:rPr>
          <w:rFonts w:ascii="Traditional Arabic" w:hAnsi="Traditional Arabic" w:cs="Traditional Arabic"/>
          <w:sz w:val="28"/>
          <w:szCs w:val="28"/>
          <w:rtl/>
          <w:lang w:bidi="ar-DZ"/>
        </w:rPr>
      </w:pPr>
      <w:r w:rsidRPr="00767740">
        <w:rPr>
          <w:rFonts w:ascii="Traditional Arabic" w:hAnsi="Traditional Arabic" w:cs="Traditional Arabic" w:hint="cs"/>
          <w:sz w:val="28"/>
          <w:szCs w:val="28"/>
          <w:rtl/>
          <w:lang w:bidi="ar-DZ"/>
        </w:rPr>
        <w:t xml:space="preserve">المصدر: من إعداد الباحث، بالاعتماد على: </w:t>
      </w:r>
    </w:p>
    <w:p w:rsidR="00560A38" w:rsidRPr="00767740" w:rsidRDefault="00560A38" w:rsidP="00560A38">
      <w:pPr>
        <w:tabs>
          <w:tab w:val="right" w:pos="567"/>
        </w:tabs>
        <w:bidi/>
        <w:spacing w:after="0" w:line="240" w:lineRule="auto"/>
        <w:jc w:val="both"/>
        <w:rPr>
          <w:rFonts w:ascii="Traditional Arabic" w:hAnsi="Traditional Arabic" w:cs="Traditional Arabic"/>
          <w:sz w:val="28"/>
          <w:szCs w:val="28"/>
          <w:rtl/>
          <w:lang w:bidi="ar-DZ"/>
        </w:rPr>
      </w:pPr>
      <w:r w:rsidRPr="00767740">
        <w:rPr>
          <w:rFonts w:ascii="Traditional Arabic" w:hAnsi="Traditional Arabic" w:cs="Traditional Arabic" w:hint="cs"/>
          <w:sz w:val="28"/>
          <w:szCs w:val="28"/>
          <w:rtl/>
          <w:lang w:bidi="ar-DZ"/>
        </w:rPr>
        <w:t xml:space="preserve">           صندوق النقد العربي: التطورات النقدية والمصرفية وفي أسواق المال في الدول العربية، مرجع سابق، ص </w:t>
      </w:r>
      <w:r w:rsidRPr="00767740">
        <w:rPr>
          <w:rFonts w:ascii="Traditional Arabic" w:hAnsi="Traditional Arabic" w:cs="Traditional Arabic" w:hint="cs"/>
          <w:sz w:val="24"/>
          <w:szCs w:val="24"/>
          <w:rtl/>
          <w:lang w:bidi="ar-DZ"/>
        </w:rPr>
        <w:t>131</w:t>
      </w:r>
      <w:r w:rsidRPr="00767740">
        <w:rPr>
          <w:rFonts w:ascii="Traditional Arabic" w:hAnsi="Traditional Arabic" w:cs="Traditional Arabic" w:hint="cs"/>
          <w:sz w:val="28"/>
          <w:szCs w:val="28"/>
          <w:rtl/>
          <w:lang w:bidi="ar-DZ"/>
        </w:rPr>
        <w:t xml:space="preserve">. </w:t>
      </w:r>
    </w:p>
    <w:p w:rsidR="00560A38" w:rsidRPr="00767740" w:rsidRDefault="00560A38" w:rsidP="00560A38">
      <w:pPr>
        <w:tabs>
          <w:tab w:val="right" w:pos="567"/>
          <w:tab w:val="right" w:pos="992"/>
        </w:tabs>
        <w:bidi/>
        <w:spacing w:line="240" w:lineRule="auto"/>
        <w:jc w:val="both"/>
        <w:rPr>
          <w:rFonts w:ascii="Traditional Arabic" w:hAnsi="Traditional Arabic" w:cs="Traditional Arabic"/>
          <w:sz w:val="28"/>
          <w:szCs w:val="28"/>
          <w:rtl/>
          <w:lang w:bidi="ar-DZ"/>
        </w:rPr>
      </w:pPr>
      <w:r w:rsidRPr="00767740">
        <w:rPr>
          <w:rFonts w:ascii="Traditional Arabic" w:hAnsi="Traditional Arabic" w:cs="Traditional Arabic" w:hint="cs"/>
          <w:sz w:val="28"/>
          <w:szCs w:val="28"/>
          <w:rtl/>
          <w:lang w:bidi="ar-DZ"/>
        </w:rPr>
        <w:t xml:space="preserve">           صندوق النقد الدولي: تصنيف مجموعات البلدان والمناطق، مرجع سابق، ص </w:t>
      </w:r>
      <w:r w:rsidRPr="00767740">
        <w:rPr>
          <w:rFonts w:ascii="Traditional Arabic" w:hAnsi="Traditional Arabic" w:cs="Traditional Arabic" w:hint="cs"/>
          <w:sz w:val="24"/>
          <w:szCs w:val="24"/>
          <w:rtl/>
          <w:lang w:bidi="ar-DZ"/>
        </w:rPr>
        <w:t>13</w:t>
      </w:r>
      <w:r w:rsidRPr="00767740">
        <w:rPr>
          <w:rFonts w:ascii="Traditional Arabic" w:hAnsi="Traditional Arabic" w:cs="Traditional Arabic" w:hint="cs"/>
          <w:sz w:val="28"/>
          <w:szCs w:val="28"/>
          <w:rtl/>
          <w:lang w:bidi="ar-DZ"/>
        </w:rPr>
        <w:t xml:space="preserve">. </w:t>
      </w:r>
    </w:p>
    <w:p w:rsidR="00560A38" w:rsidRPr="0078560C" w:rsidRDefault="0055666D" w:rsidP="00DC6F6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560A38" w:rsidRPr="0078560C">
        <w:rPr>
          <w:rFonts w:ascii="Traditional Arabic" w:hAnsi="Traditional Arabic" w:cs="Traditional Arabic" w:hint="cs"/>
          <w:sz w:val="32"/>
          <w:szCs w:val="32"/>
          <w:rtl/>
          <w:lang w:bidi="ar-DZ"/>
        </w:rPr>
        <w:t xml:space="preserve">وفيما يتعلق بأحجام أسواق الأوراق المالية العربية، انخفض إجمالي القيمة السوقية لهذه الأسواق إلى نحو </w:t>
      </w:r>
      <w:r w:rsidR="00560A38" w:rsidRPr="0078560C">
        <w:rPr>
          <w:rFonts w:ascii="Traditional Arabic" w:hAnsi="Traditional Arabic" w:cs="Traditional Arabic" w:hint="cs"/>
          <w:sz w:val="24"/>
          <w:szCs w:val="24"/>
          <w:rtl/>
          <w:lang w:bidi="ar-DZ"/>
        </w:rPr>
        <w:t xml:space="preserve">769.6 </w:t>
      </w:r>
      <w:r w:rsidR="00560A38" w:rsidRPr="0078560C">
        <w:rPr>
          <w:rFonts w:ascii="Traditional Arabic" w:hAnsi="Traditional Arabic" w:cs="Traditional Arabic" w:hint="cs"/>
          <w:sz w:val="32"/>
          <w:szCs w:val="32"/>
          <w:rtl/>
          <w:lang w:bidi="ar-DZ"/>
        </w:rPr>
        <w:t xml:space="preserve">مليار دولار أمريكي بنهاية عام </w:t>
      </w:r>
      <w:r w:rsidR="00560A38" w:rsidRPr="0078560C">
        <w:rPr>
          <w:rFonts w:ascii="Traditional Arabic" w:hAnsi="Traditional Arabic" w:cs="Traditional Arabic" w:hint="cs"/>
          <w:sz w:val="24"/>
          <w:szCs w:val="24"/>
          <w:rtl/>
          <w:lang w:bidi="ar-DZ"/>
        </w:rPr>
        <w:t>2008</w:t>
      </w:r>
      <w:r w:rsidR="00560A38" w:rsidRPr="0078560C">
        <w:rPr>
          <w:rFonts w:ascii="Traditional Arabic" w:hAnsi="Traditional Arabic" w:cs="Traditional Arabic" w:hint="cs"/>
          <w:sz w:val="32"/>
          <w:szCs w:val="32"/>
          <w:rtl/>
          <w:lang w:bidi="ar-DZ"/>
        </w:rPr>
        <w:t xml:space="preserve">، مقارنة بنحو </w:t>
      </w:r>
      <w:r w:rsidR="00560A38" w:rsidRPr="0078560C">
        <w:rPr>
          <w:rFonts w:ascii="Traditional Arabic" w:hAnsi="Traditional Arabic" w:cs="Traditional Arabic" w:hint="cs"/>
          <w:sz w:val="24"/>
          <w:szCs w:val="24"/>
          <w:rtl/>
          <w:lang w:bidi="ar-DZ"/>
        </w:rPr>
        <w:t xml:space="preserve">1339 </w:t>
      </w:r>
      <w:r w:rsidR="00560A38" w:rsidRPr="0078560C">
        <w:rPr>
          <w:rFonts w:ascii="Traditional Arabic" w:hAnsi="Traditional Arabic" w:cs="Traditional Arabic" w:hint="cs"/>
          <w:sz w:val="32"/>
          <w:szCs w:val="32"/>
          <w:rtl/>
          <w:lang w:bidi="ar-DZ"/>
        </w:rPr>
        <w:t xml:space="preserve">مليار دولار بنهاية عام </w:t>
      </w:r>
      <w:r w:rsidR="00560A38" w:rsidRPr="0078560C">
        <w:rPr>
          <w:rFonts w:ascii="Traditional Arabic" w:hAnsi="Traditional Arabic" w:cs="Traditional Arabic" w:hint="cs"/>
          <w:sz w:val="24"/>
          <w:szCs w:val="24"/>
          <w:rtl/>
          <w:lang w:bidi="ar-DZ"/>
        </w:rPr>
        <w:t>2007</w:t>
      </w:r>
      <w:r w:rsidR="00560A38" w:rsidRPr="0078560C">
        <w:rPr>
          <w:rFonts w:ascii="Traditional Arabic" w:hAnsi="Traditional Arabic" w:cs="Traditional Arabic" w:hint="cs"/>
          <w:sz w:val="32"/>
          <w:szCs w:val="32"/>
          <w:rtl/>
          <w:lang w:bidi="ar-DZ"/>
        </w:rPr>
        <w:t xml:space="preserve">، أي بنسبة انخفاض بلغت نحو </w:t>
      </w:r>
      <w:r w:rsidR="00560A38" w:rsidRPr="0078560C">
        <w:rPr>
          <w:rFonts w:ascii="Traditional Arabic" w:hAnsi="Traditional Arabic" w:cs="Traditional Arabic" w:hint="cs"/>
          <w:sz w:val="24"/>
          <w:szCs w:val="24"/>
          <w:rtl/>
          <w:lang w:bidi="ar-DZ"/>
        </w:rPr>
        <w:t xml:space="preserve">42.5 </w:t>
      </w:r>
      <w:r w:rsidR="00560A38" w:rsidRPr="0078560C">
        <w:rPr>
          <w:rFonts w:ascii="Traditional Arabic" w:hAnsi="Traditional Arabic" w:cs="Traditional Arabic"/>
          <w:sz w:val="24"/>
          <w:szCs w:val="24"/>
          <w:rtl/>
          <w:lang w:bidi="ar-DZ"/>
        </w:rPr>
        <w:t>%</w:t>
      </w:r>
      <w:r w:rsidR="00560A38" w:rsidRPr="0078560C">
        <w:rPr>
          <w:rFonts w:ascii="Traditional Arabic" w:hAnsi="Traditional Arabic" w:cs="Traditional Arabic" w:hint="cs"/>
          <w:sz w:val="32"/>
          <w:szCs w:val="32"/>
          <w:rtl/>
          <w:lang w:bidi="ar-DZ"/>
        </w:rPr>
        <w:t xml:space="preserve"> (</w:t>
      </w:r>
      <w:r w:rsidR="00DC6F62">
        <w:rPr>
          <w:rFonts w:ascii="Traditional Arabic" w:hAnsi="Traditional Arabic" w:cs="Traditional Arabic" w:hint="cs"/>
          <w:sz w:val="32"/>
          <w:szCs w:val="32"/>
          <w:rtl/>
          <w:lang w:bidi="ar-DZ"/>
        </w:rPr>
        <w:t xml:space="preserve">أنظر </w:t>
      </w:r>
      <w:r w:rsidR="00560A38" w:rsidRPr="0078560C">
        <w:rPr>
          <w:rFonts w:ascii="Traditional Arabic" w:hAnsi="Traditional Arabic" w:cs="Traditional Arabic" w:hint="cs"/>
          <w:sz w:val="32"/>
          <w:szCs w:val="32"/>
          <w:rtl/>
          <w:lang w:bidi="ar-DZ"/>
        </w:rPr>
        <w:t>الشكل</w:t>
      </w:r>
      <w:r w:rsidR="00DC6F62">
        <w:rPr>
          <w:rFonts w:ascii="Traditional Arabic" w:hAnsi="Traditional Arabic" w:cs="Traditional Arabic" w:hint="cs"/>
          <w:sz w:val="32"/>
          <w:szCs w:val="32"/>
          <w:rtl/>
          <w:lang w:bidi="ar-DZ"/>
        </w:rPr>
        <w:t xml:space="preserve"> رقم </w:t>
      </w:r>
      <w:r w:rsidR="00DC6F62" w:rsidRPr="00DC6F62">
        <w:rPr>
          <w:rFonts w:ascii="Traditional Arabic" w:hAnsi="Traditional Arabic" w:cs="Traditional Arabic" w:hint="cs"/>
          <w:sz w:val="24"/>
          <w:szCs w:val="24"/>
          <w:rtl/>
          <w:lang w:bidi="ar-DZ"/>
        </w:rPr>
        <w:t>21</w:t>
      </w:r>
      <w:r w:rsidR="00560A38" w:rsidRPr="0078560C">
        <w:rPr>
          <w:rFonts w:ascii="Traditional Arabic" w:hAnsi="Traditional Arabic" w:cs="Traditional Arabic" w:hint="cs"/>
          <w:sz w:val="32"/>
          <w:szCs w:val="32"/>
          <w:rtl/>
          <w:lang w:bidi="ar-DZ"/>
        </w:rPr>
        <w:t xml:space="preserve">).   </w:t>
      </w:r>
    </w:p>
    <w:p w:rsidR="00560A38" w:rsidRPr="007D70BB" w:rsidRDefault="00560A38" w:rsidP="0067613E">
      <w:pPr>
        <w:tabs>
          <w:tab w:val="right" w:pos="567"/>
        </w:tabs>
        <w:bidi/>
        <w:spacing w:after="0"/>
        <w:jc w:val="center"/>
        <w:rPr>
          <w:rFonts w:ascii="Traditional Arabic" w:hAnsi="Traditional Arabic" w:cs="Traditional Arabic"/>
          <w:sz w:val="32"/>
          <w:szCs w:val="32"/>
          <w:rtl/>
          <w:lang w:bidi="ar-DZ"/>
        </w:rPr>
      </w:pPr>
      <w:r w:rsidRPr="007D70BB">
        <w:rPr>
          <w:rFonts w:ascii="Traditional Arabic" w:hAnsi="Traditional Arabic" w:cs="Traditional Arabic" w:hint="cs"/>
          <w:sz w:val="32"/>
          <w:szCs w:val="32"/>
          <w:rtl/>
          <w:lang w:bidi="ar-DZ"/>
        </w:rPr>
        <w:t xml:space="preserve">الشكل </w:t>
      </w:r>
      <w:r w:rsidR="00DC6F62" w:rsidRPr="001E4161">
        <w:rPr>
          <w:rFonts w:ascii="Traditional Arabic" w:hAnsi="Traditional Arabic" w:cs="Traditional Arabic" w:hint="cs"/>
          <w:sz w:val="32"/>
          <w:szCs w:val="32"/>
          <w:rtl/>
          <w:lang w:bidi="ar-DZ"/>
        </w:rPr>
        <w:t xml:space="preserve">رقم </w:t>
      </w:r>
      <w:r w:rsidR="00DC6F62">
        <w:rPr>
          <w:rFonts w:ascii="Traditional Arabic" w:hAnsi="Traditional Arabic" w:cs="Traditional Arabic" w:hint="cs"/>
          <w:sz w:val="24"/>
          <w:szCs w:val="24"/>
          <w:rtl/>
          <w:lang w:bidi="ar-DZ"/>
        </w:rPr>
        <w:t>21</w:t>
      </w:r>
      <w:r w:rsidRPr="007D70BB">
        <w:rPr>
          <w:rFonts w:ascii="Traditional Arabic" w:hAnsi="Traditional Arabic" w:cs="Traditional Arabic" w:hint="cs"/>
          <w:sz w:val="32"/>
          <w:szCs w:val="32"/>
          <w:rtl/>
          <w:lang w:bidi="ar-DZ"/>
        </w:rPr>
        <w:t>: إجمالي القيمة السوقية للأسواق</w:t>
      </w:r>
      <w:r w:rsidR="004C1B9F">
        <w:rPr>
          <w:rFonts w:ascii="Traditional Arabic" w:hAnsi="Traditional Arabic" w:cs="Traditional Arabic" w:hint="cs"/>
          <w:sz w:val="32"/>
          <w:szCs w:val="32"/>
          <w:rtl/>
          <w:lang w:bidi="ar-DZ"/>
        </w:rPr>
        <w:t xml:space="preserve"> المالية</w:t>
      </w:r>
      <w:r w:rsidRPr="007D70BB">
        <w:rPr>
          <w:rFonts w:ascii="Traditional Arabic" w:hAnsi="Traditional Arabic" w:cs="Traditional Arabic" w:hint="cs"/>
          <w:sz w:val="32"/>
          <w:szCs w:val="32"/>
          <w:rtl/>
          <w:lang w:bidi="ar-DZ"/>
        </w:rPr>
        <w:t xml:space="preserve"> العربية خلال عام </w:t>
      </w:r>
      <w:r w:rsidRPr="007D70BB">
        <w:rPr>
          <w:rFonts w:ascii="Traditional Arabic" w:hAnsi="Traditional Arabic" w:cs="Traditional Arabic" w:hint="cs"/>
          <w:sz w:val="24"/>
          <w:szCs w:val="24"/>
          <w:rtl/>
          <w:lang w:bidi="ar-DZ"/>
        </w:rPr>
        <w:t>2008</w:t>
      </w:r>
    </w:p>
    <w:p w:rsidR="00560A38" w:rsidRPr="00A01B8A" w:rsidRDefault="00745183" w:rsidP="00560A38">
      <w:pPr>
        <w:tabs>
          <w:tab w:val="right" w:pos="567"/>
        </w:tabs>
        <w:bidi/>
        <w:spacing w:after="0"/>
        <w:jc w:val="both"/>
        <w:rPr>
          <w:rFonts w:ascii="Traditional Arabic" w:hAnsi="Traditional Arabic" w:cs="Traditional Arabic"/>
          <w:sz w:val="26"/>
          <w:szCs w:val="26"/>
          <w:rtl/>
          <w:lang w:bidi="ar-DZ"/>
        </w:rPr>
      </w:pPr>
      <w:r>
        <w:rPr>
          <w:rFonts w:ascii="Traditional Arabic" w:hAnsi="Traditional Arabic" w:cs="Traditional Arabic"/>
          <w:noProof/>
          <w:sz w:val="26"/>
          <w:szCs w:val="26"/>
          <w:rtl/>
        </w:rPr>
        <w:pict>
          <v:rect id="_x0000_s1110" style="position:absolute;left:0;text-align:left;margin-left:403.55pt;margin-top:21.35pt;width:50.85pt;height:21.15pt;z-index:251702272" strokecolor="white [3212]">
            <v:textbox>
              <w:txbxContent>
                <w:p w:rsidR="00205648" w:rsidRPr="00A01B8A" w:rsidRDefault="00205648" w:rsidP="00560A38">
                  <w:pPr>
                    <w:rPr>
                      <w:rFonts w:asciiTheme="majorBidi" w:hAnsiTheme="majorBidi" w:cstheme="majorBidi"/>
                      <w:sz w:val="24"/>
                      <w:szCs w:val="24"/>
                      <w:lang w:bidi="ar-DZ"/>
                    </w:rPr>
                  </w:pPr>
                  <w:r w:rsidRPr="00A01B8A">
                    <w:rPr>
                      <w:rFonts w:asciiTheme="majorBidi" w:hAnsiTheme="majorBidi" w:cstheme="majorBidi"/>
                      <w:sz w:val="24"/>
                      <w:szCs w:val="24"/>
                      <w:rtl/>
                      <w:lang w:bidi="ar-DZ"/>
                    </w:rPr>
                    <w:t>1500</w:t>
                  </w:r>
                </w:p>
              </w:txbxContent>
            </v:textbox>
          </v:rect>
        </w:pict>
      </w:r>
      <w:r w:rsidR="00560A38" w:rsidRPr="00A01B8A">
        <w:rPr>
          <w:rFonts w:ascii="Traditional Arabic" w:hAnsi="Traditional Arabic" w:cs="Traditional Arabic" w:hint="cs"/>
          <w:sz w:val="26"/>
          <w:szCs w:val="26"/>
          <w:rtl/>
          <w:lang w:bidi="ar-DZ"/>
        </w:rPr>
        <w:t xml:space="preserve"> مليار دولار</w:t>
      </w:r>
    </w:p>
    <w:p w:rsidR="00560A38" w:rsidRDefault="00745183" w:rsidP="00560A38">
      <w:pPr>
        <w:tabs>
          <w:tab w:val="right" w:pos="567"/>
        </w:tabs>
        <w:bidi/>
        <w:spacing w:after="0" w:line="240" w:lineRule="auto"/>
        <w:jc w:val="center"/>
        <w:rPr>
          <w:rFonts w:ascii="Traditional Arabic" w:hAnsi="Traditional Arabic" w:cs="Traditional Arabic"/>
          <w:sz w:val="28"/>
          <w:szCs w:val="28"/>
          <w:rtl/>
          <w:lang w:bidi="ar-DZ"/>
        </w:rPr>
      </w:pPr>
      <w:r>
        <w:rPr>
          <w:rFonts w:ascii="Traditional Arabic" w:hAnsi="Traditional Arabic" w:cs="Traditional Arabic"/>
          <w:noProof/>
          <w:sz w:val="28"/>
          <w:szCs w:val="28"/>
          <w:rtl/>
        </w:rPr>
        <w:pict>
          <v:rect id="_x0000_s1111" style="position:absolute;left:0;text-align:left;margin-left:406.8pt;margin-top:82.3pt;width:34.4pt;height:23.45pt;z-index:251703296" fillcolor="white [3212]" strokecolor="white [3212]">
            <v:textbox>
              <w:txbxContent>
                <w:p w:rsidR="00205648" w:rsidRPr="00A01B8A" w:rsidRDefault="00205648" w:rsidP="00560A38">
                  <w:pPr>
                    <w:rPr>
                      <w:rFonts w:asciiTheme="majorBidi" w:hAnsiTheme="majorBidi" w:cstheme="majorBidi"/>
                      <w:sz w:val="24"/>
                      <w:szCs w:val="24"/>
                      <w:lang w:bidi="ar-DZ"/>
                    </w:rPr>
                  </w:pPr>
                  <w:r w:rsidRPr="00A01B8A">
                    <w:rPr>
                      <w:rFonts w:asciiTheme="majorBidi" w:hAnsiTheme="majorBidi" w:cstheme="majorBidi"/>
                      <w:sz w:val="24"/>
                      <w:szCs w:val="24"/>
                      <w:rtl/>
                      <w:lang w:bidi="ar-DZ"/>
                    </w:rPr>
                    <w:t>500</w:t>
                  </w:r>
                </w:p>
              </w:txbxContent>
            </v:textbox>
          </v:rect>
        </w:pict>
      </w:r>
      <w:r>
        <w:rPr>
          <w:rFonts w:ascii="Traditional Arabic" w:hAnsi="Traditional Arabic" w:cs="Traditional Arabic"/>
          <w:noProof/>
          <w:sz w:val="28"/>
          <w:szCs w:val="28"/>
          <w:rtl/>
        </w:rPr>
        <w:pict>
          <v:rect id="_x0000_s1112" style="position:absolute;left:0;text-align:left;margin-left:403.55pt;margin-top:37.2pt;width:46.25pt;height:21.7pt;z-index:251704320" strokecolor="white [3212]">
            <v:textbox>
              <w:txbxContent>
                <w:p w:rsidR="00205648" w:rsidRPr="00A01B8A" w:rsidRDefault="00205648" w:rsidP="00560A38">
                  <w:pPr>
                    <w:rPr>
                      <w:rFonts w:asciiTheme="majorBidi" w:hAnsiTheme="majorBidi" w:cstheme="majorBidi"/>
                      <w:sz w:val="24"/>
                      <w:szCs w:val="24"/>
                      <w:lang w:bidi="ar-DZ"/>
                    </w:rPr>
                  </w:pPr>
                  <w:r w:rsidRPr="00A01B8A">
                    <w:rPr>
                      <w:rFonts w:asciiTheme="majorBidi" w:hAnsiTheme="majorBidi" w:cstheme="majorBidi"/>
                      <w:sz w:val="24"/>
                      <w:szCs w:val="24"/>
                      <w:rtl/>
                      <w:lang w:bidi="ar-DZ"/>
                    </w:rPr>
                    <w:t>1000</w:t>
                  </w:r>
                </w:p>
              </w:txbxContent>
            </v:textbox>
          </v:rect>
        </w:pict>
      </w:r>
      <w:r w:rsidR="00560A38">
        <w:rPr>
          <w:rFonts w:ascii="Traditional Arabic" w:hAnsi="Traditional Arabic" w:cs="Traditional Arabic" w:hint="cs"/>
          <w:noProof/>
          <w:sz w:val="28"/>
          <w:szCs w:val="28"/>
        </w:rPr>
        <w:drawing>
          <wp:inline distT="0" distB="0" distL="0" distR="0">
            <wp:extent cx="4505505" cy="1823861"/>
            <wp:effectExtent l="19050" t="0" r="9345" b="0"/>
            <wp:docPr id="9"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srcRect/>
                    <a:stretch>
                      <a:fillRect/>
                    </a:stretch>
                  </pic:blipFill>
                  <pic:spPr bwMode="auto">
                    <a:xfrm>
                      <a:off x="0" y="0"/>
                      <a:ext cx="4505505" cy="1823861"/>
                    </a:xfrm>
                    <a:prstGeom prst="rect">
                      <a:avLst/>
                    </a:prstGeom>
                    <a:noFill/>
                    <a:ln w="9525">
                      <a:noFill/>
                      <a:miter lim="800000"/>
                      <a:headEnd/>
                      <a:tailEnd/>
                    </a:ln>
                  </pic:spPr>
                </pic:pic>
              </a:graphicData>
            </a:graphic>
          </wp:inline>
        </w:drawing>
      </w:r>
    </w:p>
    <w:p w:rsidR="00560A38" w:rsidRPr="00A00C63" w:rsidRDefault="00560A38" w:rsidP="00560A38">
      <w:pPr>
        <w:tabs>
          <w:tab w:val="right" w:pos="567"/>
        </w:tabs>
        <w:bidi/>
        <w:spacing w:after="0" w:line="240" w:lineRule="auto"/>
        <w:jc w:val="both"/>
        <w:rPr>
          <w:rFonts w:ascii="Traditional Arabic" w:hAnsi="Traditional Arabic" w:cs="Traditional Arabic"/>
          <w:sz w:val="24"/>
          <w:szCs w:val="24"/>
          <w:rtl/>
          <w:lang w:bidi="ar-DZ"/>
        </w:rPr>
      </w:pPr>
      <w:r w:rsidRPr="00A00C63">
        <w:rPr>
          <w:rFonts w:ascii="Traditional Arabic" w:hAnsi="Traditional Arabic" w:cs="Traditional Arabic" w:hint="cs"/>
          <w:sz w:val="24"/>
          <w:szCs w:val="24"/>
          <w:rtl/>
          <w:lang w:bidi="ar-DZ"/>
        </w:rPr>
        <w:t xml:space="preserve">                   جانفي   فيفري    مارس </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 xml:space="preserve">   أفريل    ماي</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 xml:space="preserve"> جوان</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 xml:space="preserve"> جويلية</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 xml:space="preserve"> أوت </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سبتمبر</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 xml:space="preserve"> أكتوبر</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 xml:space="preserve"> نوفمبر </w:t>
      </w:r>
      <w:r>
        <w:rPr>
          <w:rFonts w:ascii="Traditional Arabic" w:hAnsi="Traditional Arabic" w:cs="Traditional Arabic" w:hint="cs"/>
          <w:sz w:val="24"/>
          <w:szCs w:val="24"/>
          <w:rtl/>
          <w:lang w:bidi="ar-DZ"/>
        </w:rPr>
        <w:t xml:space="preserve">  </w:t>
      </w:r>
      <w:r w:rsidRPr="00A00C63">
        <w:rPr>
          <w:rFonts w:ascii="Traditional Arabic" w:hAnsi="Traditional Arabic" w:cs="Traditional Arabic" w:hint="cs"/>
          <w:sz w:val="24"/>
          <w:szCs w:val="24"/>
          <w:rtl/>
          <w:lang w:bidi="ar-DZ"/>
        </w:rPr>
        <w:t>ديسمبر</w:t>
      </w:r>
    </w:p>
    <w:p w:rsidR="00560A38" w:rsidRPr="007D70BB" w:rsidRDefault="00560A38" w:rsidP="0032084E">
      <w:pPr>
        <w:tabs>
          <w:tab w:val="right" w:pos="567"/>
        </w:tabs>
        <w:bidi/>
        <w:jc w:val="center"/>
        <w:rPr>
          <w:rFonts w:ascii="Traditional Arabic" w:hAnsi="Traditional Arabic" w:cs="Traditional Arabic"/>
          <w:sz w:val="28"/>
          <w:szCs w:val="28"/>
          <w:rtl/>
          <w:lang w:bidi="ar-DZ"/>
        </w:rPr>
      </w:pPr>
      <w:r w:rsidRPr="007D70BB">
        <w:rPr>
          <w:rFonts w:ascii="Traditional Arabic" w:hAnsi="Traditional Arabic" w:cs="Traditional Arabic" w:hint="cs"/>
          <w:sz w:val="28"/>
          <w:szCs w:val="28"/>
          <w:rtl/>
          <w:lang w:bidi="ar-DZ"/>
        </w:rPr>
        <w:t xml:space="preserve">المصدر: صندوق النقد العربي: التطورات النقدية والمصرفية وفي أسواق المال في الدول العربية، مرجع سابق، ص </w:t>
      </w:r>
      <w:r w:rsidRPr="007D70BB">
        <w:rPr>
          <w:rFonts w:ascii="Traditional Arabic" w:hAnsi="Traditional Arabic" w:cs="Traditional Arabic" w:hint="cs"/>
          <w:sz w:val="24"/>
          <w:szCs w:val="24"/>
          <w:rtl/>
          <w:lang w:bidi="ar-DZ"/>
        </w:rPr>
        <w:t>131</w:t>
      </w:r>
      <w:r w:rsidRPr="007D70BB">
        <w:rPr>
          <w:rFonts w:ascii="Traditional Arabic" w:hAnsi="Traditional Arabic" w:cs="Traditional Arabic" w:hint="cs"/>
          <w:sz w:val="28"/>
          <w:szCs w:val="28"/>
          <w:rtl/>
          <w:lang w:bidi="ar-DZ"/>
        </w:rPr>
        <w:t>.</w:t>
      </w:r>
    </w:p>
    <w:p w:rsidR="00560A38" w:rsidRPr="0078560C" w:rsidRDefault="00560A38" w:rsidP="002425B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32"/>
          <w:szCs w:val="32"/>
          <w:rtl/>
          <w:lang w:bidi="ar-DZ"/>
        </w:rPr>
        <w:t xml:space="preserve">وبالنسبة لعدد الشركات المدرجة في الأسواق المالية العربية فقد انخفض في نهاية عام </w:t>
      </w:r>
      <w:r w:rsidRPr="0078560C">
        <w:rPr>
          <w:rFonts w:ascii="Traditional Arabic" w:hAnsi="Traditional Arabic" w:cs="Traditional Arabic" w:hint="cs"/>
          <w:sz w:val="24"/>
          <w:szCs w:val="24"/>
          <w:rtl/>
          <w:lang w:bidi="ar-DZ"/>
        </w:rPr>
        <w:t xml:space="preserve">2008 </w:t>
      </w:r>
      <w:r w:rsidRPr="0078560C">
        <w:rPr>
          <w:rFonts w:ascii="Traditional Arabic" w:hAnsi="Traditional Arabic" w:cs="Traditional Arabic" w:hint="cs"/>
          <w:sz w:val="32"/>
          <w:szCs w:val="32"/>
          <w:rtl/>
          <w:lang w:bidi="ar-DZ"/>
        </w:rPr>
        <w:t xml:space="preserve">ليبلغ </w:t>
      </w:r>
      <w:r w:rsidRPr="0078560C">
        <w:rPr>
          <w:rFonts w:ascii="Traditional Arabic" w:hAnsi="Traditional Arabic" w:cs="Traditional Arabic" w:hint="cs"/>
          <w:sz w:val="24"/>
          <w:szCs w:val="24"/>
          <w:rtl/>
          <w:lang w:bidi="ar-DZ"/>
        </w:rPr>
        <w:t xml:space="preserve">1542 </w:t>
      </w:r>
      <w:r w:rsidRPr="0078560C">
        <w:rPr>
          <w:rFonts w:ascii="Traditional Arabic" w:hAnsi="Traditional Arabic" w:cs="Traditional Arabic" w:hint="cs"/>
          <w:sz w:val="32"/>
          <w:szCs w:val="32"/>
          <w:rtl/>
          <w:lang w:bidi="ar-DZ"/>
        </w:rPr>
        <w:t xml:space="preserve">شركة مقابل </w:t>
      </w:r>
      <w:r w:rsidRPr="0078560C">
        <w:rPr>
          <w:rFonts w:ascii="Traditional Arabic" w:hAnsi="Traditional Arabic" w:cs="Traditional Arabic" w:hint="cs"/>
          <w:sz w:val="24"/>
          <w:szCs w:val="24"/>
          <w:rtl/>
          <w:lang w:bidi="ar-DZ"/>
        </w:rPr>
        <w:t xml:space="preserve">1550 </w:t>
      </w:r>
      <w:r w:rsidRPr="0078560C">
        <w:rPr>
          <w:rFonts w:ascii="Traditional Arabic" w:hAnsi="Traditional Arabic" w:cs="Traditional Arabic" w:hint="cs"/>
          <w:sz w:val="32"/>
          <w:szCs w:val="32"/>
          <w:rtl/>
          <w:lang w:bidi="ar-DZ"/>
        </w:rPr>
        <w:t xml:space="preserve">شركة مدرجة بنهاية عام </w:t>
      </w:r>
      <w:r w:rsidRPr="0078560C">
        <w:rPr>
          <w:rFonts w:ascii="Traditional Arabic" w:hAnsi="Traditional Arabic" w:cs="Traditional Arabic" w:hint="cs"/>
          <w:sz w:val="24"/>
          <w:szCs w:val="24"/>
          <w:rtl/>
          <w:lang w:bidi="ar-DZ"/>
        </w:rPr>
        <w:t>2007</w:t>
      </w:r>
      <w:r w:rsidRPr="0078560C">
        <w:rPr>
          <w:rFonts w:ascii="Traditional Arabic" w:hAnsi="Traditional Arabic" w:cs="Traditional Arabic" w:hint="cs"/>
          <w:sz w:val="32"/>
          <w:szCs w:val="32"/>
          <w:rtl/>
          <w:lang w:bidi="ar-DZ"/>
        </w:rPr>
        <w:t xml:space="preserve">. وفيما يتعلق بأحجام التداول في الأسواق المالية العربية، </w:t>
      </w:r>
      <w:r>
        <w:rPr>
          <w:rFonts w:ascii="Traditional Arabic" w:hAnsi="Traditional Arabic" w:cs="Traditional Arabic" w:hint="cs"/>
          <w:sz w:val="32"/>
          <w:szCs w:val="32"/>
          <w:rtl/>
          <w:lang w:bidi="ar-DZ"/>
        </w:rPr>
        <w:t>ف</w:t>
      </w:r>
      <w:r w:rsidRPr="0078560C">
        <w:rPr>
          <w:rFonts w:ascii="Traditional Arabic" w:hAnsi="Traditional Arabic" w:cs="Traditional Arabic" w:hint="cs"/>
          <w:sz w:val="32"/>
          <w:szCs w:val="32"/>
          <w:rtl/>
          <w:lang w:bidi="ar-DZ"/>
        </w:rPr>
        <w:t xml:space="preserve">بلغت قيمة الأسهم المتداولة خلال عام </w:t>
      </w:r>
      <w:r w:rsidRPr="0078560C">
        <w:rPr>
          <w:rFonts w:ascii="Traditional Arabic" w:hAnsi="Traditional Arabic" w:cs="Traditional Arabic" w:hint="cs"/>
          <w:sz w:val="24"/>
          <w:szCs w:val="24"/>
          <w:rtl/>
          <w:lang w:bidi="ar-DZ"/>
        </w:rPr>
        <w:t xml:space="preserve">2008 </w:t>
      </w:r>
      <w:r w:rsidRPr="0078560C">
        <w:rPr>
          <w:rFonts w:ascii="Traditional Arabic" w:hAnsi="Traditional Arabic" w:cs="Traditional Arabic" w:hint="cs"/>
          <w:sz w:val="32"/>
          <w:szCs w:val="32"/>
          <w:rtl/>
          <w:lang w:bidi="ar-DZ"/>
        </w:rPr>
        <w:t xml:space="preserve">نحو </w:t>
      </w:r>
      <w:r w:rsidRPr="0078560C">
        <w:rPr>
          <w:rFonts w:ascii="Traditional Arabic" w:hAnsi="Traditional Arabic" w:cs="Traditional Arabic" w:hint="cs"/>
          <w:sz w:val="24"/>
          <w:szCs w:val="24"/>
          <w:rtl/>
          <w:lang w:bidi="ar-DZ"/>
        </w:rPr>
        <w:t xml:space="preserve">997.87 </w:t>
      </w:r>
      <w:r w:rsidRPr="0078560C">
        <w:rPr>
          <w:rFonts w:ascii="Traditional Arabic" w:hAnsi="Traditional Arabic" w:cs="Traditional Arabic" w:hint="cs"/>
          <w:sz w:val="32"/>
          <w:szCs w:val="32"/>
          <w:rtl/>
          <w:lang w:bidi="ar-DZ"/>
        </w:rPr>
        <w:t xml:space="preserve">مليار دولار أمريكي، مسجلة نسبة انخفاض بلغت نحو </w:t>
      </w:r>
      <w:r w:rsidRPr="0078560C">
        <w:rPr>
          <w:rFonts w:ascii="Traditional Arabic" w:hAnsi="Traditional Arabic" w:cs="Traditional Arabic" w:hint="cs"/>
          <w:sz w:val="24"/>
          <w:szCs w:val="24"/>
          <w:rtl/>
          <w:lang w:bidi="ar-DZ"/>
        </w:rPr>
        <w:t>9.9</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مقارنة مع قيمة تداولات عام </w:t>
      </w:r>
      <w:r w:rsidRPr="0078560C">
        <w:rPr>
          <w:rFonts w:ascii="Traditional Arabic" w:hAnsi="Traditional Arabic" w:cs="Traditional Arabic" w:hint="cs"/>
          <w:sz w:val="24"/>
          <w:szCs w:val="24"/>
          <w:rtl/>
          <w:lang w:bidi="ar-DZ"/>
        </w:rPr>
        <w:t>2007</w:t>
      </w:r>
      <w:r w:rsidRPr="0078560C">
        <w:rPr>
          <w:rFonts w:ascii="Traditional Arabic" w:hAnsi="Traditional Arabic" w:cs="Traditional Arabic" w:hint="cs"/>
          <w:sz w:val="32"/>
          <w:szCs w:val="32"/>
          <w:rtl/>
          <w:lang w:bidi="ar-DZ"/>
        </w:rPr>
        <w:t>. وشكلت قيمة الأسهم المتداولة في أسواق ثلاثة دول فقط هي سو</w:t>
      </w:r>
      <w:r>
        <w:rPr>
          <w:rFonts w:ascii="Traditional Arabic" w:hAnsi="Traditional Arabic" w:cs="Traditional Arabic" w:hint="cs"/>
          <w:sz w:val="32"/>
          <w:szCs w:val="32"/>
          <w:rtl/>
          <w:lang w:bidi="ar-DZ"/>
        </w:rPr>
        <w:t>ق الأسهم السعودي وسوق الكويت</w:t>
      </w:r>
      <w:r w:rsidRPr="0078560C">
        <w:rPr>
          <w:rFonts w:ascii="Traditional Arabic" w:hAnsi="Traditional Arabic" w:cs="Traditional Arabic" w:hint="cs"/>
          <w:sz w:val="32"/>
          <w:szCs w:val="32"/>
          <w:rtl/>
          <w:lang w:bidi="ar-DZ"/>
        </w:rPr>
        <w:t xml:space="preserve"> وسوق الإمارات ما نسبته </w:t>
      </w:r>
      <w:r w:rsidRPr="0078560C">
        <w:rPr>
          <w:rFonts w:ascii="Traditional Arabic" w:hAnsi="Traditional Arabic" w:cs="Traditional Arabic" w:hint="cs"/>
          <w:sz w:val="24"/>
          <w:szCs w:val="24"/>
          <w:rtl/>
          <w:lang w:bidi="ar-DZ"/>
        </w:rPr>
        <w:t xml:space="preserve">80.5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من إجمالي قيمة التداول في الأسواق المالية العربية، منها </w:t>
      </w:r>
      <w:r w:rsidRPr="0078560C">
        <w:rPr>
          <w:rFonts w:ascii="Traditional Arabic" w:hAnsi="Traditional Arabic" w:cs="Traditional Arabic" w:hint="cs"/>
          <w:sz w:val="24"/>
          <w:szCs w:val="24"/>
          <w:rtl/>
          <w:lang w:bidi="ar-DZ"/>
        </w:rPr>
        <w:t xml:space="preserve">52.4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حصة سوق الأسهم السعودي وحدها.     </w:t>
      </w:r>
    </w:p>
    <w:p w:rsidR="00560A38" w:rsidRPr="0078560C"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أما فيما يخص </w:t>
      </w:r>
      <w:r w:rsidRPr="0078560C">
        <w:rPr>
          <w:rFonts w:ascii="Traditional Arabic" w:hAnsi="Traditional Arabic" w:cs="Traditional Arabic" w:hint="cs"/>
          <w:sz w:val="32"/>
          <w:szCs w:val="32"/>
          <w:rtl/>
          <w:lang w:bidi="ar-DZ"/>
        </w:rPr>
        <w:t xml:space="preserve">عدد الأسهم المتداولة، فقد انخفضت خلال عام </w:t>
      </w:r>
      <w:r w:rsidRPr="0078560C">
        <w:rPr>
          <w:rFonts w:ascii="Traditional Arabic" w:hAnsi="Traditional Arabic" w:cs="Traditional Arabic" w:hint="cs"/>
          <w:sz w:val="24"/>
          <w:szCs w:val="24"/>
          <w:rtl/>
          <w:lang w:bidi="ar-DZ"/>
        </w:rPr>
        <w:t xml:space="preserve">2008 </w:t>
      </w:r>
      <w:r w:rsidRPr="0078560C">
        <w:rPr>
          <w:rFonts w:ascii="Traditional Arabic" w:hAnsi="Traditional Arabic" w:cs="Traditional Arabic" w:hint="cs"/>
          <w:sz w:val="32"/>
          <w:szCs w:val="32"/>
          <w:rtl/>
          <w:lang w:bidi="ar-DZ"/>
        </w:rPr>
        <w:t xml:space="preserve">بنسبة </w:t>
      </w:r>
      <w:r w:rsidRPr="0078560C">
        <w:rPr>
          <w:rFonts w:ascii="Traditional Arabic" w:hAnsi="Traditional Arabic" w:cs="Traditional Arabic" w:hint="cs"/>
          <w:sz w:val="24"/>
          <w:szCs w:val="24"/>
          <w:rtl/>
          <w:lang w:bidi="ar-DZ"/>
        </w:rPr>
        <w:t xml:space="preserve">5.9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لتبلغ نحو </w:t>
      </w:r>
      <w:r w:rsidRPr="0078560C">
        <w:rPr>
          <w:rFonts w:ascii="Traditional Arabic" w:hAnsi="Traditional Arabic" w:cs="Traditional Arabic" w:hint="cs"/>
          <w:sz w:val="24"/>
          <w:szCs w:val="24"/>
          <w:rtl/>
          <w:lang w:bidi="ar-DZ"/>
        </w:rPr>
        <w:t xml:space="preserve">304 </w:t>
      </w:r>
      <w:r w:rsidRPr="0078560C">
        <w:rPr>
          <w:rFonts w:ascii="Traditional Arabic" w:hAnsi="Traditional Arabic" w:cs="Traditional Arabic" w:hint="cs"/>
          <w:sz w:val="32"/>
          <w:szCs w:val="32"/>
          <w:rtl/>
          <w:lang w:bidi="ar-DZ"/>
        </w:rPr>
        <w:t xml:space="preserve">مليار سهم مقارنة مع </w:t>
      </w:r>
      <w:r w:rsidRPr="0078560C">
        <w:rPr>
          <w:rFonts w:ascii="Traditional Arabic" w:hAnsi="Traditional Arabic" w:cs="Traditional Arabic" w:hint="cs"/>
          <w:sz w:val="24"/>
          <w:szCs w:val="24"/>
          <w:rtl/>
          <w:lang w:bidi="ar-DZ"/>
        </w:rPr>
        <w:t xml:space="preserve">323 </w:t>
      </w:r>
      <w:r w:rsidRPr="0078560C">
        <w:rPr>
          <w:rFonts w:ascii="Traditional Arabic" w:hAnsi="Traditional Arabic" w:cs="Traditional Arabic" w:hint="cs"/>
          <w:sz w:val="32"/>
          <w:szCs w:val="32"/>
          <w:rtl/>
          <w:lang w:bidi="ar-DZ"/>
        </w:rPr>
        <w:t xml:space="preserve">مليار سهم تم تداولها خلال عام </w:t>
      </w:r>
      <w:r w:rsidRPr="0078560C">
        <w:rPr>
          <w:rFonts w:ascii="Traditional Arabic" w:hAnsi="Traditional Arabic" w:cs="Traditional Arabic" w:hint="cs"/>
          <w:sz w:val="24"/>
          <w:szCs w:val="24"/>
          <w:rtl/>
          <w:lang w:bidi="ar-DZ"/>
        </w:rPr>
        <w:t>2007</w:t>
      </w:r>
      <w:r w:rsidRPr="0078560C">
        <w:rPr>
          <w:rFonts w:ascii="Traditional Arabic" w:hAnsi="Traditional Arabic" w:cs="Traditional Arabic" w:hint="cs"/>
          <w:sz w:val="32"/>
          <w:szCs w:val="32"/>
          <w:rtl/>
          <w:lang w:bidi="ar-DZ"/>
        </w:rPr>
        <w:t xml:space="preserve">. وشكل عدد الأسهم المتداولة في أسواق السعودية والكويت والإمارات ما نسبته </w:t>
      </w:r>
      <w:r w:rsidRPr="0078560C">
        <w:rPr>
          <w:rFonts w:ascii="Traditional Arabic" w:hAnsi="Traditional Arabic" w:cs="Traditional Arabic" w:hint="cs"/>
          <w:sz w:val="24"/>
          <w:szCs w:val="24"/>
          <w:rtl/>
          <w:lang w:bidi="ar-DZ"/>
        </w:rPr>
        <w:t xml:space="preserve">87.5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من إجمالي قيمة التداول في الأسواق المالية العربية. وبلغت نسبة عدد الأسهم المتداولة في سوق الكويت للأوراق المالية وحدها نحو </w:t>
      </w:r>
      <w:r w:rsidRPr="0078560C">
        <w:rPr>
          <w:rFonts w:ascii="Traditional Arabic" w:hAnsi="Traditional Arabic" w:cs="Traditional Arabic" w:hint="cs"/>
          <w:sz w:val="24"/>
          <w:szCs w:val="24"/>
          <w:rtl/>
          <w:lang w:bidi="ar-DZ"/>
        </w:rPr>
        <w:t xml:space="preserve">26.6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من إجمالي عدد الأسهم المتداولة في الأسواق العربية، تلاها سوق دبي المالي بنحو </w:t>
      </w:r>
      <w:r w:rsidRPr="0078560C">
        <w:rPr>
          <w:rFonts w:ascii="Traditional Arabic" w:hAnsi="Traditional Arabic" w:cs="Traditional Arabic" w:hint="cs"/>
          <w:sz w:val="24"/>
          <w:szCs w:val="24"/>
          <w:rtl/>
          <w:lang w:bidi="ar-DZ"/>
        </w:rPr>
        <w:t xml:space="preserve">25.2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وسوق الأسهم السعودي بنسبة </w:t>
      </w:r>
      <w:r w:rsidRPr="0078560C">
        <w:rPr>
          <w:rFonts w:ascii="Traditional Arabic" w:hAnsi="Traditional Arabic" w:cs="Traditional Arabic" w:hint="cs"/>
          <w:sz w:val="24"/>
          <w:szCs w:val="24"/>
          <w:rtl/>
          <w:lang w:bidi="ar-DZ"/>
        </w:rPr>
        <w:t xml:space="preserve">19.4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وسوق أبو ظبي للأوراق المالية بنحو </w:t>
      </w:r>
      <w:r w:rsidRPr="0078560C">
        <w:rPr>
          <w:rFonts w:ascii="Traditional Arabic" w:hAnsi="Traditional Arabic" w:cs="Traditional Arabic" w:hint="cs"/>
          <w:sz w:val="24"/>
          <w:szCs w:val="24"/>
          <w:rtl/>
          <w:lang w:bidi="ar-DZ"/>
        </w:rPr>
        <w:t xml:space="preserve">16.4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p>
    <w:p w:rsidR="00560A38" w:rsidRPr="0078560C" w:rsidRDefault="00ED3749" w:rsidP="00ED3749">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560A38" w:rsidRPr="0078560C">
        <w:rPr>
          <w:rFonts w:ascii="Traditional Arabic" w:hAnsi="Traditional Arabic" w:cs="Traditional Arabic" w:hint="cs"/>
          <w:sz w:val="32"/>
          <w:szCs w:val="32"/>
          <w:rtl/>
          <w:lang w:bidi="ar-DZ"/>
        </w:rPr>
        <w:t>وفيما يتعلق بتحليل أداء أسواق الأوراق المالية العربية من خلال احتساب بعض المؤشرات الرئيسية</w:t>
      </w:r>
      <w:r w:rsidR="00E33B51">
        <w:rPr>
          <w:rFonts w:ascii="Traditional Arabic" w:hAnsi="Traditional Arabic" w:cs="Traditional Arabic" w:hint="cs"/>
          <w:sz w:val="32"/>
          <w:szCs w:val="32"/>
          <w:rtl/>
          <w:lang w:bidi="ar-DZ"/>
        </w:rPr>
        <w:t xml:space="preserve"> </w:t>
      </w:r>
      <w:r w:rsidR="00E33B51" w:rsidRPr="0078560C">
        <w:rPr>
          <w:rFonts w:ascii="Traditional Arabic" w:hAnsi="Traditional Arabic" w:cs="Traditional Arabic" w:hint="cs"/>
          <w:sz w:val="32"/>
          <w:szCs w:val="32"/>
          <w:rtl/>
          <w:lang w:bidi="ar-DZ"/>
        </w:rPr>
        <w:t xml:space="preserve">(الجدول رقم </w:t>
      </w:r>
      <w:r w:rsidR="00F519D9">
        <w:rPr>
          <w:rFonts w:ascii="Traditional Arabic" w:hAnsi="Traditional Arabic" w:cs="Traditional Arabic" w:hint="cs"/>
          <w:sz w:val="24"/>
          <w:szCs w:val="24"/>
          <w:rtl/>
          <w:lang w:bidi="ar-DZ"/>
        </w:rPr>
        <w:t>14</w:t>
      </w:r>
      <w:r w:rsidR="00E33B51">
        <w:rPr>
          <w:rFonts w:ascii="Traditional Arabic" w:hAnsi="Traditional Arabic" w:cs="Traditional Arabic" w:hint="cs"/>
          <w:sz w:val="32"/>
          <w:szCs w:val="32"/>
          <w:rtl/>
          <w:lang w:bidi="ar-DZ"/>
        </w:rPr>
        <w:t>)</w:t>
      </w:r>
      <w:r w:rsidR="00560A38" w:rsidRPr="0078560C">
        <w:rPr>
          <w:rFonts w:ascii="Traditional Arabic" w:hAnsi="Traditional Arabic" w:cs="Traditional Arabic" w:hint="cs"/>
          <w:sz w:val="32"/>
          <w:szCs w:val="32"/>
          <w:rtl/>
          <w:lang w:bidi="ar-DZ"/>
        </w:rPr>
        <w:t xml:space="preserve">، يشير مؤشر أهمية القيمة السوقية للأسهم في الاقتصاد إلى التراجع الملحوظ للأهمية النسبية لأسواق الأوراق المالية في ضوء الانخفاض الملحوظ في القيم السوقية لهذه الأسواق. فعلى سبيل المثال، يبين المؤشر لعام </w:t>
      </w:r>
      <w:r w:rsidR="00560A38" w:rsidRPr="0078560C">
        <w:rPr>
          <w:rFonts w:ascii="Traditional Arabic" w:hAnsi="Traditional Arabic" w:cs="Traditional Arabic" w:hint="cs"/>
          <w:sz w:val="24"/>
          <w:szCs w:val="24"/>
          <w:rtl/>
          <w:lang w:bidi="ar-DZ"/>
        </w:rPr>
        <w:t xml:space="preserve">2008 </w:t>
      </w:r>
      <w:r w:rsidR="00560A38" w:rsidRPr="0078560C">
        <w:rPr>
          <w:rFonts w:ascii="Traditional Arabic" w:hAnsi="Traditional Arabic" w:cs="Traditional Arabic" w:hint="cs"/>
          <w:sz w:val="32"/>
          <w:szCs w:val="32"/>
          <w:rtl/>
          <w:lang w:bidi="ar-DZ"/>
        </w:rPr>
        <w:t xml:space="preserve">أن القيمة السوقية للأسهم كانت أقل من قيمة الناتج المحلي الإجمالي في جميع الدول العربية التي لديها أسواق أوراق مالية باستثناء بورصة عمان التي بلغت قيمتها السوقية نحو </w:t>
      </w:r>
      <w:r w:rsidR="00560A38" w:rsidRPr="0078560C">
        <w:rPr>
          <w:rFonts w:ascii="Traditional Arabic" w:hAnsi="Traditional Arabic" w:cs="Traditional Arabic" w:hint="cs"/>
          <w:sz w:val="24"/>
          <w:szCs w:val="24"/>
          <w:rtl/>
          <w:lang w:bidi="ar-DZ"/>
        </w:rPr>
        <w:t xml:space="preserve">179 </w:t>
      </w:r>
      <w:r w:rsidR="00560A38" w:rsidRPr="0078560C">
        <w:rPr>
          <w:rFonts w:ascii="Traditional Arabic" w:hAnsi="Traditional Arabic" w:cs="Traditional Arabic"/>
          <w:sz w:val="24"/>
          <w:szCs w:val="24"/>
          <w:rtl/>
          <w:lang w:bidi="ar-DZ"/>
        </w:rPr>
        <w:t>%</w:t>
      </w:r>
      <w:r w:rsidR="00560A38" w:rsidRPr="0078560C">
        <w:rPr>
          <w:rFonts w:ascii="Traditional Arabic" w:hAnsi="Traditional Arabic" w:cs="Traditional Arabic" w:hint="cs"/>
          <w:sz w:val="24"/>
          <w:szCs w:val="24"/>
          <w:rtl/>
          <w:lang w:bidi="ar-DZ"/>
        </w:rPr>
        <w:t xml:space="preserve"> </w:t>
      </w:r>
      <w:r w:rsidR="00560A38" w:rsidRPr="0078560C">
        <w:rPr>
          <w:rFonts w:ascii="Traditional Arabic" w:hAnsi="Traditional Arabic" w:cs="Traditional Arabic" w:hint="cs"/>
          <w:sz w:val="32"/>
          <w:szCs w:val="32"/>
          <w:rtl/>
          <w:lang w:bidi="ar-DZ"/>
        </w:rPr>
        <w:t xml:space="preserve">من الناتج المحلي الإجمالي. </w:t>
      </w:r>
      <w:r w:rsidR="0089602D">
        <w:rPr>
          <w:rFonts w:ascii="Traditional Arabic" w:hAnsi="Traditional Arabic" w:cs="Traditional Arabic" w:hint="cs"/>
          <w:sz w:val="32"/>
          <w:szCs w:val="32"/>
          <w:rtl/>
          <w:lang w:bidi="ar-DZ"/>
        </w:rPr>
        <w:t xml:space="preserve">  </w:t>
      </w:r>
      <w:r w:rsidR="00560A38" w:rsidRPr="0078560C">
        <w:rPr>
          <w:rFonts w:ascii="Traditional Arabic" w:hAnsi="Traditional Arabic" w:cs="Traditional Arabic" w:hint="cs"/>
          <w:sz w:val="32"/>
          <w:szCs w:val="32"/>
          <w:rtl/>
          <w:lang w:bidi="ar-DZ"/>
        </w:rPr>
        <w:t xml:space="preserve">  </w:t>
      </w:r>
    </w:p>
    <w:p w:rsidR="00560A38" w:rsidRPr="002425BF" w:rsidRDefault="00560A38" w:rsidP="0067613E">
      <w:pPr>
        <w:tabs>
          <w:tab w:val="right" w:pos="567"/>
        </w:tabs>
        <w:bidi/>
        <w:spacing w:after="0"/>
        <w:jc w:val="center"/>
        <w:rPr>
          <w:rFonts w:ascii="Traditional Arabic" w:hAnsi="Traditional Arabic" w:cs="Traditional Arabic"/>
          <w:sz w:val="32"/>
          <w:szCs w:val="32"/>
          <w:rtl/>
          <w:lang w:bidi="ar-DZ"/>
        </w:rPr>
      </w:pPr>
      <w:r w:rsidRPr="002425BF">
        <w:rPr>
          <w:rFonts w:ascii="Traditional Arabic" w:hAnsi="Traditional Arabic" w:cs="Traditional Arabic" w:hint="cs"/>
          <w:sz w:val="32"/>
          <w:szCs w:val="32"/>
          <w:rtl/>
          <w:lang w:bidi="ar-DZ"/>
        </w:rPr>
        <w:t xml:space="preserve">الجدول رقم </w:t>
      </w:r>
      <w:r w:rsidR="00B87A0F">
        <w:rPr>
          <w:rFonts w:ascii="Traditional Arabic" w:hAnsi="Traditional Arabic" w:cs="Traditional Arabic" w:hint="cs"/>
          <w:sz w:val="24"/>
          <w:szCs w:val="24"/>
          <w:rtl/>
          <w:lang w:bidi="ar-DZ"/>
        </w:rPr>
        <w:t>14</w:t>
      </w:r>
      <w:r w:rsidRPr="002425BF">
        <w:rPr>
          <w:rFonts w:ascii="Traditional Arabic" w:hAnsi="Traditional Arabic" w:cs="Traditional Arabic" w:hint="cs"/>
          <w:sz w:val="32"/>
          <w:szCs w:val="32"/>
          <w:rtl/>
          <w:lang w:bidi="ar-DZ"/>
        </w:rPr>
        <w:t xml:space="preserve">: أهم مؤشرات أداء الأسهم العربية خلال عام </w:t>
      </w:r>
      <w:r w:rsidRPr="002425BF">
        <w:rPr>
          <w:rFonts w:ascii="Traditional Arabic" w:hAnsi="Traditional Arabic" w:cs="Traditional Arabic" w:hint="cs"/>
          <w:sz w:val="24"/>
          <w:szCs w:val="24"/>
          <w:rtl/>
          <w:lang w:bidi="ar-DZ"/>
        </w:rPr>
        <w:t>2008</w:t>
      </w:r>
    </w:p>
    <w:tbl>
      <w:tblPr>
        <w:tblStyle w:val="Grilledutableau"/>
        <w:bidiVisual/>
        <w:tblW w:w="9606" w:type="dxa"/>
        <w:tblLook w:val="04A0"/>
      </w:tblPr>
      <w:tblGrid>
        <w:gridCol w:w="2556"/>
        <w:gridCol w:w="1400"/>
        <w:gridCol w:w="1396"/>
        <w:gridCol w:w="1412"/>
        <w:gridCol w:w="1301"/>
        <w:gridCol w:w="1541"/>
      </w:tblGrid>
      <w:tr w:rsidR="00560A38" w:rsidTr="00C83DCD">
        <w:trPr>
          <w:trHeight w:val="753"/>
        </w:trPr>
        <w:tc>
          <w:tcPr>
            <w:tcW w:w="2556" w:type="dxa"/>
          </w:tcPr>
          <w:p w:rsidR="00560A38" w:rsidRPr="002F6DB0" w:rsidRDefault="00560A38" w:rsidP="00C83DCD">
            <w:pPr>
              <w:tabs>
                <w:tab w:val="right" w:pos="567"/>
              </w:tabs>
              <w:bidi/>
              <w:jc w:val="center"/>
              <w:rPr>
                <w:rFonts w:ascii="Traditional Arabic" w:hAnsi="Traditional Arabic" w:cs="Traditional Arabic"/>
                <w:sz w:val="26"/>
                <w:szCs w:val="26"/>
                <w:rtl/>
                <w:lang w:bidi="ar-DZ"/>
              </w:rPr>
            </w:pPr>
          </w:p>
        </w:tc>
        <w:tc>
          <w:tcPr>
            <w:tcW w:w="1400" w:type="dxa"/>
          </w:tcPr>
          <w:p w:rsidR="00560A38" w:rsidRPr="00D22E46" w:rsidRDefault="00560A38" w:rsidP="00C83DCD">
            <w:pPr>
              <w:tabs>
                <w:tab w:val="right" w:pos="567"/>
              </w:tabs>
              <w:bidi/>
              <w:jc w:val="center"/>
              <w:rPr>
                <w:rFonts w:ascii="Traditional Arabic" w:hAnsi="Traditional Arabic" w:cs="Traditional Arabic"/>
                <w:sz w:val="26"/>
                <w:szCs w:val="26"/>
                <w:rtl/>
                <w:lang w:bidi="ar-DZ"/>
              </w:rPr>
            </w:pPr>
            <w:r w:rsidRPr="00D22E46">
              <w:rPr>
                <w:rFonts w:ascii="Traditional Arabic" w:hAnsi="Traditional Arabic" w:cs="Traditional Arabic" w:hint="cs"/>
                <w:sz w:val="26"/>
                <w:szCs w:val="26"/>
                <w:rtl/>
                <w:lang w:bidi="ar-DZ"/>
              </w:rPr>
              <w:t>القيمة السوقية إلى الناتج المحلي</w:t>
            </w:r>
            <w:r>
              <w:rPr>
                <w:rFonts w:ascii="Traditional Arabic" w:hAnsi="Traditional Arabic" w:cs="Traditional Arabic" w:hint="cs"/>
                <w:sz w:val="26"/>
                <w:szCs w:val="26"/>
                <w:rtl/>
                <w:lang w:bidi="ar-DZ"/>
              </w:rPr>
              <w:t>*(</w:t>
            </w:r>
            <w:r w:rsidRPr="00D22E46">
              <w:rPr>
                <w:rFonts w:ascii="Traditional Arabic" w:hAnsi="Traditional Arabic" w:cs="Traditional Arabic"/>
                <w:rtl/>
                <w:lang w:bidi="ar-DZ"/>
              </w:rPr>
              <w:t>%</w:t>
            </w:r>
            <w:r w:rsidRPr="00D803B8">
              <w:rPr>
                <w:rFonts w:ascii="Traditional Arabic" w:hAnsi="Traditional Arabic" w:cs="Traditional Arabic" w:hint="cs"/>
                <w:sz w:val="28"/>
                <w:szCs w:val="28"/>
                <w:rtl/>
                <w:lang w:bidi="ar-DZ"/>
              </w:rPr>
              <w:t>)</w:t>
            </w:r>
          </w:p>
        </w:tc>
        <w:tc>
          <w:tcPr>
            <w:tcW w:w="1396" w:type="dxa"/>
          </w:tcPr>
          <w:p w:rsidR="00560A38" w:rsidRPr="00D22E46" w:rsidRDefault="00560A38" w:rsidP="00C83DCD">
            <w:pPr>
              <w:tabs>
                <w:tab w:val="right" w:pos="567"/>
              </w:tabs>
              <w:bidi/>
              <w:jc w:val="center"/>
              <w:rPr>
                <w:rFonts w:ascii="Traditional Arabic" w:hAnsi="Traditional Arabic" w:cs="Traditional Arabic"/>
                <w:sz w:val="26"/>
                <w:szCs w:val="26"/>
                <w:rtl/>
                <w:lang w:bidi="ar-DZ"/>
              </w:rPr>
            </w:pPr>
            <w:r w:rsidRPr="00D22E46">
              <w:rPr>
                <w:rFonts w:ascii="Traditional Arabic" w:hAnsi="Traditional Arabic" w:cs="Traditional Arabic" w:hint="cs"/>
                <w:sz w:val="26"/>
                <w:szCs w:val="26"/>
                <w:rtl/>
                <w:lang w:bidi="ar-DZ"/>
              </w:rPr>
              <w:t>معدل دوران الأسهم</w:t>
            </w:r>
            <w:r>
              <w:rPr>
                <w:rFonts w:ascii="Traditional Arabic" w:hAnsi="Traditional Arabic" w:cs="Traditional Arabic" w:hint="cs"/>
                <w:sz w:val="26"/>
                <w:szCs w:val="26"/>
                <w:rtl/>
                <w:lang w:bidi="ar-DZ"/>
              </w:rPr>
              <w:t>**</w:t>
            </w:r>
          </w:p>
        </w:tc>
        <w:tc>
          <w:tcPr>
            <w:tcW w:w="1412" w:type="dxa"/>
          </w:tcPr>
          <w:p w:rsidR="00560A38" w:rsidRPr="00D22E46" w:rsidRDefault="00560A38" w:rsidP="00C83DCD">
            <w:pPr>
              <w:tabs>
                <w:tab w:val="right" w:pos="567"/>
              </w:tabs>
              <w:bidi/>
              <w:jc w:val="center"/>
              <w:rPr>
                <w:rFonts w:ascii="Traditional Arabic" w:hAnsi="Traditional Arabic" w:cs="Traditional Arabic"/>
                <w:sz w:val="26"/>
                <w:szCs w:val="26"/>
                <w:rtl/>
                <w:lang w:bidi="ar-DZ"/>
              </w:rPr>
            </w:pPr>
            <w:r w:rsidRPr="00D22E46">
              <w:rPr>
                <w:rFonts w:ascii="Traditional Arabic" w:hAnsi="Traditional Arabic" w:cs="Traditional Arabic" w:hint="cs"/>
                <w:sz w:val="26"/>
                <w:szCs w:val="26"/>
                <w:rtl/>
                <w:lang w:bidi="ar-DZ"/>
              </w:rPr>
              <w:t>مضاعف السعر إلى العائد</w:t>
            </w:r>
          </w:p>
        </w:tc>
        <w:tc>
          <w:tcPr>
            <w:tcW w:w="1301" w:type="dxa"/>
          </w:tcPr>
          <w:p w:rsidR="00560A38" w:rsidRPr="00D22E46" w:rsidRDefault="00560A38" w:rsidP="00C83DCD">
            <w:pPr>
              <w:tabs>
                <w:tab w:val="right" w:pos="567"/>
              </w:tabs>
              <w:bidi/>
              <w:jc w:val="center"/>
              <w:rPr>
                <w:rFonts w:ascii="Traditional Arabic" w:hAnsi="Traditional Arabic" w:cs="Traditional Arabic"/>
                <w:sz w:val="26"/>
                <w:szCs w:val="26"/>
                <w:rtl/>
                <w:lang w:bidi="ar-DZ"/>
              </w:rPr>
            </w:pPr>
            <w:r w:rsidRPr="00D22E46">
              <w:rPr>
                <w:rFonts w:ascii="Traditional Arabic" w:hAnsi="Traditional Arabic" w:cs="Traditional Arabic" w:hint="cs"/>
                <w:sz w:val="26"/>
                <w:szCs w:val="26"/>
                <w:rtl/>
                <w:lang w:bidi="ar-DZ"/>
              </w:rPr>
              <w:t>عدد الشركات المدرجة</w:t>
            </w:r>
          </w:p>
        </w:tc>
        <w:tc>
          <w:tcPr>
            <w:tcW w:w="1541" w:type="dxa"/>
          </w:tcPr>
          <w:p w:rsidR="00560A38" w:rsidRPr="00D22E46" w:rsidRDefault="00560A38" w:rsidP="00C83DCD">
            <w:pPr>
              <w:tabs>
                <w:tab w:val="right" w:pos="567"/>
              </w:tabs>
              <w:bidi/>
              <w:jc w:val="center"/>
              <w:rPr>
                <w:rFonts w:ascii="Traditional Arabic" w:hAnsi="Traditional Arabic" w:cs="Traditional Arabic"/>
                <w:sz w:val="26"/>
                <w:szCs w:val="26"/>
                <w:rtl/>
                <w:lang w:bidi="ar-DZ"/>
              </w:rPr>
            </w:pPr>
            <w:r w:rsidRPr="00D22E46">
              <w:rPr>
                <w:rFonts w:ascii="Traditional Arabic" w:hAnsi="Traditional Arabic" w:cs="Traditional Arabic" w:hint="cs"/>
                <w:sz w:val="26"/>
                <w:szCs w:val="26"/>
                <w:rtl/>
                <w:lang w:bidi="ar-DZ"/>
              </w:rPr>
              <w:t>متوسط حجم الشركة</w:t>
            </w:r>
            <w:r>
              <w:rPr>
                <w:rFonts w:ascii="Traditional Arabic" w:hAnsi="Traditional Arabic" w:cs="Traditional Arabic" w:hint="cs"/>
                <w:sz w:val="26"/>
                <w:szCs w:val="26"/>
                <w:rtl/>
                <w:lang w:bidi="ar-DZ"/>
              </w:rPr>
              <w:t>***</w:t>
            </w:r>
            <w:r w:rsidRPr="0013768A">
              <w:rPr>
                <w:rFonts w:ascii="Traditional Arabic" w:hAnsi="Traditional Arabic" w:cs="Traditional Arabic" w:hint="cs"/>
                <w:sz w:val="24"/>
                <w:szCs w:val="24"/>
                <w:rtl/>
                <w:lang w:bidi="ar-DZ"/>
              </w:rPr>
              <w:t>(مليون</w:t>
            </w:r>
            <w:r w:rsidRPr="0013768A">
              <w:rPr>
                <w:rFonts w:ascii="Traditional Arabic" w:hAnsi="Traditional Arabic" w:cs="Traditional Arabic"/>
                <w:sz w:val="20"/>
                <w:szCs w:val="20"/>
                <w:rtl/>
                <w:lang w:bidi="ar-DZ"/>
              </w:rPr>
              <w:t>$</w:t>
            </w:r>
            <w:r w:rsidRPr="0013768A">
              <w:rPr>
                <w:rFonts w:ascii="Traditional Arabic" w:hAnsi="Traditional Arabic" w:cs="Traditional Arabic" w:hint="cs"/>
                <w:sz w:val="24"/>
                <w:szCs w:val="24"/>
                <w:rtl/>
                <w:lang w:bidi="ar-DZ"/>
              </w:rPr>
              <w:t>)</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sidRPr="002F6DB0">
              <w:rPr>
                <w:rFonts w:ascii="Traditional Arabic" w:hAnsi="Traditional Arabic" w:cs="Traditional Arabic" w:hint="cs"/>
                <w:sz w:val="26"/>
                <w:szCs w:val="26"/>
                <w:rtl/>
                <w:lang w:bidi="ar-DZ"/>
              </w:rPr>
              <w:t>سوق أبوظبي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91.7</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5.96</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65</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1058.6</w:t>
            </w:r>
          </w:p>
        </w:tc>
      </w:tr>
      <w:tr w:rsidR="00560A38" w:rsidTr="00C83DCD">
        <w:trPr>
          <w:trHeight w:val="40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بورصة عمان</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179.1</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80</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18.8</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262</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136.8</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البحرين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82.0</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10.5</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8.2</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51</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391.1</w:t>
            </w:r>
          </w:p>
        </w:tc>
      </w:tr>
      <w:tr w:rsidR="00560A38" w:rsidTr="00C83DCD">
        <w:trPr>
          <w:trHeight w:val="40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الأسهم السعودي</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52.7</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212.3</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9.7</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127</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1941.0</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الكويت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81.8</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106.9</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204</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593.9</w:t>
            </w:r>
          </w:p>
        </w:tc>
      </w:tr>
      <w:tr w:rsidR="00560A38" w:rsidTr="00C83DCD">
        <w:trPr>
          <w:trHeight w:val="40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بورصة القيم المنقولة بالدار البيضاء</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76.7</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20.4</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19.1</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77</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853.9</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بورصة الجزائر</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0.1</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0.31</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46.1</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بورصة الأوراق المالية بتونس</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15.2</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25.4</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13.7</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50</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126.1</w:t>
            </w:r>
          </w:p>
        </w:tc>
      </w:tr>
      <w:tr w:rsidR="00560A38" w:rsidTr="00C83DCD">
        <w:trPr>
          <w:trHeight w:val="40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دبي المالي</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131.7</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6</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65</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970.7</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الخرطوم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6.2</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13.6</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52</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73.2</w:t>
            </w:r>
          </w:p>
        </w:tc>
      </w:tr>
      <w:tr w:rsidR="00560A38" w:rsidTr="00C83DCD">
        <w:trPr>
          <w:trHeight w:val="40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فلسطين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58.2</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37</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57.4</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مسقط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25.3</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57.4</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122</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124.1</w:t>
            </w:r>
          </w:p>
        </w:tc>
      </w:tr>
      <w:tr w:rsidR="00560A38" w:rsidTr="00C83DCD">
        <w:trPr>
          <w:trHeight w:val="40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سوق الدوحة للأوراق المالية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74.9</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62.9</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43</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1782.0</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 xml:space="preserve">بورصة بيروت </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32.4</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17.8</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13</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739.1</w:t>
            </w:r>
          </w:p>
        </w:tc>
      </w:tr>
      <w:tr w:rsidR="00560A38" w:rsidTr="00C83DCD">
        <w:trPr>
          <w:trHeight w:val="410"/>
        </w:trPr>
        <w:tc>
          <w:tcPr>
            <w:tcW w:w="2556" w:type="dxa"/>
          </w:tcPr>
          <w:p w:rsidR="00560A38" w:rsidRPr="002F6DB0" w:rsidRDefault="00560A38" w:rsidP="00C83DCD">
            <w:pPr>
              <w:tabs>
                <w:tab w:val="right" w:pos="567"/>
              </w:tabs>
              <w:bidi/>
              <w:jc w:val="both"/>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بورصتي القاهرة والإسكندرية</w:t>
            </w:r>
          </w:p>
        </w:tc>
        <w:tc>
          <w:tcPr>
            <w:tcW w:w="1400"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52.8</w:t>
            </w:r>
          </w:p>
        </w:tc>
        <w:tc>
          <w:tcPr>
            <w:tcW w:w="1396"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100.6</w:t>
            </w:r>
          </w:p>
        </w:tc>
        <w:tc>
          <w:tcPr>
            <w:tcW w:w="1412"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w:t>
            </w:r>
          </w:p>
        </w:tc>
        <w:tc>
          <w:tcPr>
            <w:tcW w:w="130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373</w:t>
            </w:r>
          </w:p>
        </w:tc>
        <w:tc>
          <w:tcPr>
            <w:tcW w:w="1541" w:type="dxa"/>
          </w:tcPr>
          <w:p w:rsidR="00560A38" w:rsidRPr="00D803B8" w:rsidRDefault="00560A38" w:rsidP="00C83DCD">
            <w:pPr>
              <w:tabs>
                <w:tab w:val="right" w:pos="567"/>
              </w:tabs>
              <w:bidi/>
              <w:jc w:val="center"/>
              <w:rPr>
                <w:rFonts w:asciiTheme="majorBidi" w:hAnsiTheme="majorBidi" w:cstheme="majorBidi"/>
                <w:sz w:val="24"/>
                <w:szCs w:val="24"/>
                <w:rtl/>
                <w:lang w:bidi="ar-DZ"/>
              </w:rPr>
            </w:pPr>
            <w:r w:rsidRPr="00D803B8">
              <w:rPr>
                <w:rFonts w:asciiTheme="majorBidi" w:hAnsiTheme="majorBidi" w:cstheme="majorBidi"/>
                <w:sz w:val="24"/>
                <w:szCs w:val="24"/>
                <w:rtl/>
                <w:lang w:bidi="ar-DZ"/>
              </w:rPr>
              <w:t>230.4</w:t>
            </w:r>
          </w:p>
        </w:tc>
      </w:tr>
    </w:tbl>
    <w:p w:rsidR="00560A38" w:rsidRPr="004B3F71" w:rsidRDefault="00560A38" w:rsidP="00560A38">
      <w:pPr>
        <w:tabs>
          <w:tab w:val="right" w:pos="425"/>
          <w:tab w:val="right" w:pos="567"/>
        </w:tabs>
        <w:bidi/>
        <w:spacing w:after="0" w:line="240" w:lineRule="auto"/>
        <w:jc w:val="both"/>
        <w:rPr>
          <w:rFonts w:ascii="Traditional Arabic" w:hAnsi="Traditional Arabic" w:cs="Traditional Arabic"/>
          <w:sz w:val="24"/>
          <w:szCs w:val="24"/>
          <w:rtl/>
          <w:lang w:bidi="ar-DZ"/>
        </w:rPr>
      </w:pPr>
      <w:r w:rsidRPr="004B3F71">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r w:rsidRPr="004B3F71">
        <w:rPr>
          <w:rFonts w:ascii="Traditional Arabic" w:hAnsi="Traditional Arabic" w:cs="Traditional Arabic" w:hint="cs"/>
          <w:sz w:val="24"/>
          <w:szCs w:val="24"/>
          <w:rtl/>
          <w:lang w:bidi="ar-DZ"/>
        </w:rPr>
        <w:t xml:space="preserve">القيمة السوقية إلى الناتج المحلي الإجمالي.  </w:t>
      </w:r>
    </w:p>
    <w:p w:rsidR="00560A38" w:rsidRPr="004B3F71" w:rsidRDefault="00560A38" w:rsidP="00560A38">
      <w:pPr>
        <w:tabs>
          <w:tab w:val="right" w:pos="567"/>
        </w:tabs>
        <w:bidi/>
        <w:spacing w:after="0" w:line="240" w:lineRule="auto"/>
        <w:jc w:val="both"/>
        <w:rPr>
          <w:rFonts w:ascii="Traditional Arabic" w:hAnsi="Traditional Arabic" w:cs="Traditional Arabic"/>
          <w:sz w:val="24"/>
          <w:szCs w:val="24"/>
          <w:rtl/>
          <w:lang w:bidi="ar-DZ"/>
        </w:rPr>
      </w:pPr>
      <w:r w:rsidRPr="004B3F71">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w:t>
      </w:r>
      <w:r w:rsidRPr="004B3F71">
        <w:rPr>
          <w:rFonts w:ascii="Traditional Arabic" w:hAnsi="Traditional Arabic" w:cs="Traditional Arabic" w:hint="cs"/>
          <w:sz w:val="24"/>
          <w:szCs w:val="24"/>
          <w:rtl/>
          <w:lang w:bidi="ar-DZ"/>
        </w:rPr>
        <w:t xml:space="preserve"> قيمة الأسهم المتداولة إلى القيمة السوقية.</w:t>
      </w:r>
    </w:p>
    <w:p w:rsidR="00560A38" w:rsidRDefault="00560A38" w:rsidP="00560A38">
      <w:pPr>
        <w:tabs>
          <w:tab w:val="right" w:pos="567"/>
        </w:tabs>
        <w:bidi/>
        <w:spacing w:after="0" w:line="240" w:lineRule="auto"/>
        <w:jc w:val="both"/>
        <w:rPr>
          <w:rFonts w:ascii="Traditional Arabic" w:hAnsi="Traditional Arabic" w:cs="Traditional Arabic"/>
          <w:sz w:val="24"/>
          <w:szCs w:val="24"/>
          <w:rtl/>
          <w:lang w:bidi="ar-DZ"/>
        </w:rPr>
      </w:pPr>
      <w:r w:rsidRPr="004B3F71">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r w:rsidRPr="004B3F71">
        <w:rPr>
          <w:rFonts w:ascii="Traditional Arabic" w:hAnsi="Traditional Arabic" w:cs="Traditional Arabic" w:hint="cs"/>
          <w:sz w:val="24"/>
          <w:szCs w:val="24"/>
          <w:rtl/>
          <w:lang w:bidi="ar-DZ"/>
        </w:rPr>
        <w:t xml:space="preserve">القيمة السوقية على عدد الشركات المدرجة. </w:t>
      </w:r>
    </w:p>
    <w:p w:rsidR="00560A38" w:rsidRPr="00813086" w:rsidRDefault="00560A38" w:rsidP="00560A38">
      <w:pPr>
        <w:tabs>
          <w:tab w:val="right" w:pos="567"/>
        </w:tabs>
        <w:bidi/>
        <w:spacing w:line="240" w:lineRule="auto"/>
        <w:jc w:val="both"/>
        <w:rPr>
          <w:rFonts w:ascii="Traditional Arabic" w:hAnsi="Traditional Arabic" w:cs="Traditional Arabic"/>
          <w:sz w:val="28"/>
          <w:szCs w:val="28"/>
          <w:rtl/>
          <w:lang w:bidi="ar-DZ"/>
        </w:rPr>
      </w:pPr>
      <w:r w:rsidRPr="00813086">
        <w:rPr>
          <w:rFonts w:ascii="Traditional Arabic" w:hAnsi="Traditional Arabic" w:cs="Traditional Arabic" w:hint="cs"/>
          <w:sz w:val="28"/>
          <w:szCs w:val="28"/>
          <w:rtl/>
          <w:lang w:bidi="ar-DZ"/>
        </w:rPr>
        <w:t xml:space="preserve">المصدر: صندوق النقد العربي: التطورات النقدية والمصرفية وفي أسواق المال في الدول العربية، مرجع سابق، ص </w:t>
      </w:r>
      <w:r w:rsidRPr="00813086">
        <w:rPr>
          <w:rFonts w:ascii="Traditional Arabic" w:hAnsi="Traditional Arabic" w:cs="Traditional Arabic" w:hint="cs"/>
          <w:sz w:val="24"/>
          <w:szCs w:val="24"/>
          <w:rtl/>
          <w:lang w:bidi="ar-DZ"/>
        </w:rPr>
        <w:t>133</w:t>
      </w:r>
      <w:r w:rsidRPr="00813086">
        <w:rPr>
          <w:rFonts w:ascii="Traditional Arabic" w:hAnsi="Traditional Arabic" w:cs="Traditional Arabic" w:hint="cs"/>
          <w:sz w:val="28"/>
          <w:szCs w:val="28"/>
          <w:rtl/>
          <w:lang w:bidi="ar-DZ"/>
        </w:rPr>
        <w:t xml:space="preserve">. </w:t>
      </w:r>
    </w:p>
    <w:p w:rsidR="004C7B56" w:rsidRPr="0078560C" w:rsidRDefault="004C7B56" w:rsidP="004C7B56">
      <w:pPr>
        <w:tabs>
          <w:tab w:val="right" w:pos="567"/>
        </w:tabs>
        <w:bidi/>
        <w:jc w:val="both"/>
        <w:rPr>
          <w:rFonts w:ascii="Traditional Arabic" w:hAnsi="Traditional Arabic" w:cs="Traditional Arabic"/>
          <w:sz w:val="32"/>
          <w:szCs w:val="32"/>
          <w:rtl/>
          <w:lang w:bidi="ar-DZ"/>
        </w:rPr>
      </w:pPr>
      <w:r w:rsidRPr="0078560C">
        <w:rPr>
          <w:rFonts w:ascii="Traditional Arabic" w:hAnsi="Traditional Arabic" w:cs="Traditional Arabic" w:hint="cs"/>
          <w:sz w:val="32"/>
          <w:szCs w:val="32"/>
          <w:rtl/>
          <w:lang w:bidi="ar-DZ"/>
        </w:rPr>
        <w:lastRenderedPageBreak/>
        <w:t xml:space="preserve">        وبالنسبة لمعدل دوران الأسهم، فقد أتت الأسواق الخليجية الرئيسية في الطليعة حيث بلغت النسبة </w:t>
      </w:r>
      <w:r w:rsidRPr="0078560C">
        <w:rPr>
          <w:rFonts w:ascii="Traditional Arabic" w:hAnsi="Traditional Arabic" w:cs="Traditional Arabic" w:hint="cs"/>
          <w:sz w:val="24"/>
          <w:szCs w:val="24"/>
          <w:rtl/>
          <w:lang w:bidi="ar-DZ"/>
        </w:rPr>
        <w:t xml:space="preserve">212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في سوق الأسهم السعودي، </w:t>
      </w:r>
      <w:r w:rsidRPr="0078560C">
        <w:rPr>
          <w:rFonts w:ascii="Traditional Arabic" w:hAnsi="Traditional Arabic" w:cs="Traditional Arabic" w:hint="cs"/>
          <w:sz w:val="24"/>
          <w:szCs w:val="24"/>
          <w:rtl/>
          <w:lang w:bidi="ar-DZ"/>
        </w:rPr>
        <w:t>132</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في سوق دبي المالي</w:t>
      </w:r>
      <w:r w:rsidRPr="0078560C">
        <w:rPr>
          <w:rFonts w:ascii="Traditional Arabic" w:hAnsi="Traditional Arabic" w:cs="Traditional Arabic" w:hint="cs"/>
          <w:sz w:val="32"/>
          <w:szCs w:val="32"/>
          <w:rtl/>
          <w:lang w:bidi="ar-DZ"/>
        </w:rPr>
        <w:t xml:space="preserve"> </w:t>
      </w:r>
      <w:r w:rsidRPr="00C909DD">
        <w:rPr>
          <w:rFonts w:ascii="Traditional Arabic" w:hAnsi="Traditional Arabic" w:cs="Traditional Arabic" w:hint="cs"/>
          <w:sz w:val="32"/>
          <w:szCs w:val="32"/>
          <w:rtl/>
          <w:lang w:bidi="ar-DZ"/>
        </w:rPr>
        <w:t>و</w:t>
      </w:r>
      <w:r w:rsidRPr="00C909DD">
        <w:rPr>
          <w:rFonts w:ascii="Traditional Arabic" w:hAnsi="Traditional Arabic" w:cs="Traditional Arabic" w:hint="cs"/>
          <w:sz w:val="24"/>
          <w:szCs w:val="24"/>
          <w:rtl/>
          <w:lang w:bidi="ar-DZ"/>
        </w:rPr>
        <w:t>107</w:t>
      </w:r>
      <w:r w:rsidRPr="0078560C">
        <w:rPr>
          <w:rFonts w:ascii="Traditional Arabic" w:hAnsi="Traditional Arabic" w:cs="Traditional Arabic" w:hint="cs"/>
          <w:sz w:val="32"/>
          <w:szCs w:val="32"/>
          <w:rtl/>
          <w:lang w:bidi="ar-DZ"/>
        </w:rPr>
        <w:t xml:space="preserve">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24"/>
          <w:szCs w:val="24"/>
          <w:rtl/>
          <w:lang w:bidi="ar-DZ"/>
        </w:rPr>
        <w:t xml:space="preserve"> </w:t>
      </w:r>
      <w:r w:rsidRPr="0078560C">
        <w:rPr>
          <w:rFonts w:ascii="Traditional Arabic" w:hAnsi="Traditional Arabic" w:cs="Traditional Arabic" w:hint="cs"/>
          <w:sz w:val="32"/>
          <w:szCs w:val="32"/>
          <w:rtl/>
          <w:lang w:bidi="ar-DZ"/>
        </w:rPr>
        <w:t xml:space="preserve">في سوق الكويت للأوراق المالية، تلتها بورصتي القاهرة والإسكندرية بنحو </w:t>
      </w:r>
      <w:r w:rsidRPr="0078560C">
        <w:rPr>
          <w:rFonts w:ascii="Traditional Arabic" w:hAnsi="Traditional Arabic" w:cs="Traditional Arabic" w:hint="cs"/>
          <w:sz w:val="24"/>
          <w:szCs w:val="24"/>
          <w:rtl/>
          <w:lang w:bidi="ar-DZ"/>
        </w:rPr>
        <w:t xml:space="preserve">101 </w:t>
      </w:r>
      <w:r w:rsidRPr="0078560C">
        <w:rPr>
          <w:rFonts w:ascii="Traditional Arabic" w:hAnsi="Traditional Arabic" w:cs="Traditional Arabic"/>
          <w:sz w:val="24"/>
          <w:szCs w:val="24"/>
          <w:rtl/>
          <w:lang w:bidi="ar-DZ"/>
        </w:rPr>
        <w:t>%</w:t>
      </w:r>
      <w:r w:rsidRPr="0078560C">
        <w:rPr>
          <w:rFonts w:ascii="Traditional Arabic" w:hAnsi="Traditional Arabic" w:cs="Traditional Arabic" w:hint="cs"/>
          <w:sz w:val="32"/>
          <w:szCs w:val="32"/>
          <w:rtl/>
          <w:lang w:bidi="ar-DZ"/>
        </w:rPr>
        <w:t xml:space="preserve">.  </w:t>
      </w:r>
    </w:p>
    <w:p w:rsidR="004C7B56" w:rsidRPr="004C7B56" w:rsidRDefault="004C7B56" w:rsidP="00386724">
      <w:pPr>
        <w:tabs>
          <w:tab w:val="right" w:pos="567"/>
        </w:tabs>
        <w:bidi/>
        <w:jc w:val="both"/>
        <w:rPr>
          <w:rFonts w:ascii="Traditional Arabic" w:hAnsi="Traditional Arabic" w:cs="Traditional Arabic"/>
          <w:sz w:val="32"/>
          <w:szCs w:val="32"/>
          <w:rtl/>
          <w:lang w:bidi="ar-DZ"/>
        </w:rPr>
      </w:pPr>
      <w:r w:rsidRPr="0078560C">
        <w:rPr>
          <w:rFonts w:ascii="Traditional Arabic" w:hAnsi="Traditional Arabic" w:cs="Traditional Arabic" w:hint="cs"/>
          <w:sz w:val="32"/>
          <w:szCs w:val="32"/>
          <w:rtl/>
          <w:lang w:bidi="ar-DZ"/>
        </w:rPr>
        <w:t xml:space="preserve">        وفيما يتعلق بمعدلات مضاعف السعر إلى العائد، فلقد كانت منخفضة نسبيا لتعكس انخفاض أسعار الأسهم خلال العام </w:t>
      </w:r>
      <w:r w:rsidRPr="0078560C">
        <w:rPr>
          <w:rFonts w:ascii="Traditional Arabic" w:hAnsi="Traditional Arabic" w:cs="Traditional Arabic" w:hint="cs"/>
          <w:sz w:val="24"/>
          <w:szCs w:val="24"/>
          <w:rtl/>
          <w:lang w:bidi="ar-DZ"/>
        </w:rPr>
        <w:t>2008</w:t>
      </w:r>
      <w:r w:rsidRPr="0078560C">
        <w:rPr>
          <w:rFonts w:ascii="Traditional Arabic" w:hAnsi="Traditional Arabic" w:cs="Traditional Arabic" w:hint="cs"/>
          <w:sz w:val="32"/>
          <w:szCs w:val="32"/>
          <w:rtl/>
          <w:lang w:bidi="ar-DZ"/>
        </w:rPr>
        <w:t xml:space="preserve">، مما جعل هذه الأسهم أكثر جاذبية للشراء. ولم يتغير عدد الشركات المدرجة في هذه الأسواق بشكل ملحوظ خلال عام </w:t>
      </w:r>
      <w:r w:rsidRPr="0078560C">
        <w:rPr>
          <w:rFonts w:ascii="Traditional Arabic" w:hAnsi="Traditional Arabic" w:cs="Traditional Arabic" w:hint="cs"/>
          <w:sz w:val="24"/>
          <w:szCs w:val="24"/>
          <w:rtl/>
          <w:lang w:bidi="ar-DZ"/>
        </w:rPr>
        <w:t>2008</w:t>
      </w:r>
      <w:r w:rsidRPr="0078560C">
        <w:rPr>
          <w:rFonts w:ascii="Traditional Arabic" w:hAnsi="Traditional Arabic" w:cs="Traditional Arabic" w:hint="cs"/>
          <w:sz w:val="32"/>
          <w:szCs w:val="32"/>
          <w:rtl/>
          <w:lang w:bidi="ar-DZ"/>
        </w:rPr>
        <w:t xml:space="preserve"> مقارنة مع العام السابق، مما أسهم في انخفاض مؤشر متوسط حجم الشركات المدرجة في الأسواق العربية، وذلك نتيجة لانخفاض القيمة السوقي</w:t>
      </w:r>
      <w:r>
        <w:rPr>
          <w:rFonts w:ascii="Traditional Arabic" w:hAnsi="Traditional Arabic" w:cs="Traditional Arabic" w:hint="cs"/>
          <w:sz w:val="32"/>
          <w:szCs w:val="32"/>
          <w:rtl/>
          <w:lang w:bidi="ar-DZ"/>
        </w:rPr>
        <w:t>ة لهذه الشركات</w:t>
      </w:r>
      <w:r w:rsidRPr="0078560C">
        <w:rPr>
          <w:rFonts w:ascii="Traditional Arabic" w:hAnsi="Traditional Arabic" w:cs="Traditional Arabic" w:hint="cs"/>
          <w:sz w:val="32"/>
          <w:szCs w:val="32"/>
          <w:rtl/>
          <w:lang w:bidi="ar-DZ"/>
        </w:rPr>
        <w:t xml:space="preserve">. </w:t>
      </w:r>
    </w:p>
    <w:p w:rsidR="00560A38" w:rsidRPr="00704C2E"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78560C">
        <w:rPr>
          <w:rFonts w:ascii="Traditional Arabic" w:hAnsi="Traditional Arabic" w:cs="Traditional Arabic" w:hint="cs"/>
          <w:sz w:val="32"/>
          <w:szCs w:val="32"/>
          <w:rtl/>
          <w:lang w:bidi="ar-DZ"/>
        </w:rPr>
        <w:t xml:space="preserve">وبهدف تحصين أسواق المال في ضوء الأزمة المالية العالمية، واصلت الجهات التنفيذية والرقابية في كافة أسواق الأوراق المالية العربية العمل خلال عام </w:t>
      </w:r>
      <w:r w:rsidRPr="0078560C">
        <w:rPr>
          <w:rFonts w:ascii="Traditional Arabic" w:hAnsi="Traditional Arabic" w:cs="Traditional Arabic" w:hint="cs"/>
          <w:sz w:val="24"/>
          <w:szCs w:val="24"/>
          <w:rtl/>
          <w:lang w:bidi="ar-DZ"/>
        </w:rPr>
        <w:t xml:space="preserve">2008 </w:t>
      </w:r>
      <w:r w:rsidRPr="0078560C">
        <w:rPr>
          <w:rFonts w:ascii="Traditional Arabic" w:hAnsi="Traditional Arabic" w:cs="Traditional Arabic" w:hint="cs"/>
          <w:sz w:val="32"/>
          <w:szCs w:val="32"/>
          <w:rtl/>
          <w:lang w:bidi="ar-DZ"/>
        </w:rPr>
        <w:t>على تطوير الأطر الرقابية والتنظيمية لهذه الأسواق، وشملت التدابير التي اتخذ</w:t>
      </w:r>
      <w:r w:rsidR="00B9602A">
        <w:rPr>
          <w:rFonts w:ascii="Traditional Arabic" w:hAnsi="Traditional Arabic" w:cs="Traditional Arabic" w:hint="cs"/>
          <w:sz w:val="32"/>
          <w:szCs w:val="32"/>
          <w:rtl/>
          <w:lang w:bidi="ar-DZ"/>
        </w:rPr>
        <w:t>ت</w:t>
      </w:r>
      <w:r w:rsidRPr="0078560C">
        <w:rPr>
          <w:rFonts w:ascii="Traditional Arabic" w:hAnsi="Traditional Arabic" w:cs="Traditional Arabic" w:hint="cs"/>
          <w:sz w:val="32"/>
          <w:szCs w:val="32"/>
          <w:rtl/>
          <w:lang w:bidi="ar-DZ"/>
        </w:rPr>
        <w:t>ها إلزام الشركات المدرجة على رفع مستوى الإفصاح المالي والشفافية، وتقديم خدمات التداول الا</w:t>
      </w:r>
      <w:r>
        <w:rPr>
          <w:rFonts w:ascii="Traditional Arabic" w:hAnsi="Traditional Arabic" w:cs="Traditional Arabic" w:hint="cs"/>
          <w:sz w:val="32"/>
          <w:szCs w:val="32"/>
          <w:rtl/>
          <w:lang w:bidi="ar-DZ"/>
        </w:rPr>
        <w:t xml:space="preserve">لكتروني للمتعاملين في الأسواق، </w:t>
      </w:r>
      <w:r w:rsidRPr="0078560C">
        <w:rPr>
          <w:rFonts w:ascii="Traditional Arabic" w:hAnsi="Traditional Arabic" w:cs="Traditional Arabic" w:hint="cs"/>
          <w:sz w:val="32"/>
          <w:szCs w:val="32"/>
          <w:rtl/>
          <w:lang w:bidi="ar-DZ"/>
        </w:rPr>
        <w:t>تحسين النظ</w:t>
      </w:r>
      <w:r>
        <w:rPr>
          <w:rFonts w:ascii="Traditional Arabic" w:hAnsi="Traditional Arabic" w:cs="Traditional Arabic" w:hint="cs"/>
          <w:sz w:val="32"/>
          <w:szCs w:val="32"/>
          <w:rtl/>
          <w:lang w:bidi="ar-DZ"/>
        </w:rPr>
        <w:t xml:space="preserve">م الضريبية بهدف جذب الاستثمار، </w:t>
      </w:r>
      <w:r w:rsidRPr="0078560C">
        <w:rPr>
          <w:rFonts w:ascii="Traditional Arabic" w:hAnsi="Traditional Arabic" w:cs="Traditional Arabic" w:hint="cs"/>
          <w:sz w:val="32"/>
          <w:szCs w:val="32"/>
          <w:rtl/>
          <w:lang w:bidi="ar-DZ"/>
        </w:rPr>
        <w:t>تعديل نظم إدارة المحاف</w:t>
      </w:r>
      <w:r>
        <w:rPr>
          <w:rFonts w:ascii="Traditional Arabic" w:hAnsi="Traditional Arabic" w:cs="Traditional Arabic" w:hint="cs"/>
          <w:sz w:val="32"/>
          <w:szCs w:val="32"/>
          <w:rtl/>
          <w:lang w:bidi="ar-DZ"/>
        </w:rPr>
        <w:t>ظ الاستثمارية لحماية المستثمرين</w:t>
      </w:r>
      <w:r w:rsidRPr="0078560C">
        <w:rPr>
          <w:rFonts w:ascii="Traditional Arabic" w:hAnsi="Traditional Arabic" w:cs="Traditional Arabic" w:hint="cs"/>
          <w:sz w:val="32"/>
          <w:szCs w:val="32"/>
          <w:rtl/>
          <w:lang w:bidi="ar-DZ"/>
        </w:rPr>
        <w:t xml:space="preserve"> وتطوير عمل مجالس الإدارة في الشركات المساهمة العامة</w:t>
      </w:r>
      <w:r w:rsidRPr="0078560C">
        <w:rPr>
          <w:rStyle w:val="Appelnotedebasdep"/>
          <w:rFonts w:ascii="Traditional Arabic" w:hAnsi="Traditional Arabic" w:cs="Traditional Arabic"/>
          <w:sz w:val="32"/>
          <w:szCs w:val="32"/>
          <w:rtl/>
          <w:lang w:bidi="ar-DZ"/>
        </w:rPr>
        <w:footnoteReference w:id="20"/>
      </w:r>
      <w:r w:rsidRPr="0078560C">
        <w:rPr>
          <w:rFonts w:ascii="Traditional Arabic" w:hAnsi="Traditional Arabic" w:cs="Traditional Arabic" w:hint="cs"/>
          <w:sz w:val="32"/>
          <w:szCs w:val="32"/>
          <w:rtl/>
          <w:lang w:bidi="ar-DZ"/>
        </w:rPr>
        <w:t xml:space="preserve">.   </w:t>
      </w:r>
    </w:p>
    <w:p w:rsidR="00560A38" w:rsidRPr="00EC3D9C" w:rsidRDefault="00560A38" w:rsidP="00560A38">
      <w:pPr>
        <w:tabs>
          <w:tab w:val="right" w:pos="567"/>
        </w:tabs>
        <w:bidi/>
        <w:spacing w:after="0"/>
        <w:jc w:val="both"/>
        <w:rPr>
          <w:rFonts w:ascii="Traditional Arabic" w:hAnsi="Traditional Arabic" w:cs="Traditional Arabic"/>
          <w:b/>
          <w:bCs/>
          <w:sz w:val="32"/>
          <w:szCs w:val="32"/>
          <w:rtl/>
          <w:lang w:bidi="ar-DZ"/>
        </w:rPr>
      </w:pPr>
      <w:r w:rsidRPr="00EC3D9C">
        <w:rPr>
          <w:rFonts w:ascii="Traditional Arabic" w:hAnsi="Traditional Arabic" w:cs="Traditional Arabic" w:hint="cs"/>
          <w:b/>
          <w:bCs/>
          <w:sz w:val="24"/>
          <w:szCs w:val="24"/>
          <w:rtl/>
          <w:lang w:bidi="ar-DZ"/>
        </w:rPr>
        <w:t xml:space="preserve">2- </w:t>
      </w:r>
      <w:r w:rsidRPr="00EC3D9C">
        <w:rPr>
          <w:rFonts w:ascii="Traditional Arabic" w:hAnsi="Traditional Arabic" w:cs="Traditional Arabic" w:hint="cs"/>
          <w:b/>
          <w:bCs/>
          <w:sz w:val="32"/>
          <w:szCs w:val="32"/>
          <w:rtl/>
          <w:lang w:bidi="ar-DZ"/>
        </w:rPr>
        <w:t>انعكاسات الأزمة</w:t>
      </w:r>
      <w:r w:rsidRPr="00EC3D9C">
        <w:rPr>
          <w:rFonts w:ascii="Traditional Arabic" w:hAnsi="Traditional Arabic" w:cs="Traditional Arabic" w:hint="cs"/>
          <w:b/>
          <w:bCs/>
          <w:sz w:val="32"/>
          <w:szCs w:val="32"/>
          <w:rtl/>
          <w:lang w:bidi="ar-EG"/>
        </w:rPr>
        <w:t xml:space="preserve"> على </w:t>
      </w:r>
      <w:r w:rsidRPr="00EC3D9C">
        <w:rPr>
          <w:rFonts w:ascii="Traditional Arabic" w:hAnsi="Traditional Arabic" w:cs="Traditional Arabic" w:hint="cs"/>
          <w:b/>
          <w:bCs/>
          <w:sz w:val="32"/>
          <w:szCs w:val="32"/>
          <w:rtl/>
          <w:lang w:bidi="ar-DZ"/>
        </w:rPr>
        <w:t>أداء الجهاز</w:t>
      </w:r>
      <w:r w:rsidRPr="00EC3D9C">
        <w:rPr>
          <w:rFonts w:ascii="Traditional Arabic" w:hAnsi="Traditional Arabic" w:cs="Traditional Arabic"/>
          <w:b/>
          <w:bCs/>
          <w:sz w:val="32"/>
          <w:szCs w:val="32"/>
          <w:rtl/>
          <w:lang w:bidi="ar-DZ"/>
        </w:rPr>
        <w:t xml:space="preserve"> المصرفي في الدول العربية</w:t>
      </w:r>
      <w:r w:rsidRPr="00EC3D9C">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   </w:t>
      </w:r>
      <w:r w:rsidRPr="00EC3D9C">
        <w:rPr>
          <w:rFonts w:ascii="Traditional Arabic" w:hAnsi="Traditional Arabic" w:cs="Traditional Arabic" w:hint="cs"/>
          <w:b/>
          <w:bCs/>
          <w:sz w:val="32"/>
          <w:szCs w:val="32"/>
          <w:rtl/>
          <w:lang w:bidi="ar-DZ"/>
        </w:rPr>
        <w:t xml:space="preserve">  </w:t>
      </w:r>
      <w:r w:rsidR="002A0F12">
        <w:rPr>
          <w:rFonts w:ascii="Traditional Arabic" w:hAnsi="Traditional Arabic" w:cs="Traditional Arabic"/>
          <w:b/>
          <w:bCs/>
          <w:sz w:val="32"/>
          <w:szCs w:val="32"/>
          <w:lang w:bidi="ar-DZ"/>
        </w:rPr>
        <w:t xml:space="preserve">    </w:t>
      </w:r>
      <w:r w:rsidRPr="00EC3D9C">
        <w:rPr>
          <w:rFonts w:ascii="Traditional Arabic" w:hAnsi="Traditional Arabic" w:cs="Traditional Arabic" w:hint="cs"/>
          <w:b/>
          <w:bCs/>
          <w:sz w:val="32"/>
          <w:szCs w:val="32"/>
          <w:rtl/>
          <w:lang w:bidi="ar-DZ"/>
        </w:rPr>
        <w:t xml:space="preserve"> </w:t>
      </w:r>
    </w:p>
    <w:p w:rsidR="00560A38" w:rsidRDefault="00560A38" w:rsidP="00EC42C3">
      <w:pPr>
        <w:tabs>
          <w:tab w:val="right" w:pos="567"/>
        </w:tabs>
        <w:bidi/>
        <w:spacing w:after="0"/>
        <w:jc w:val="both"/>
        <w:rPr>
          <w:rFonts w:ascii="Traditional Arabic" w:hAnsi="Traditional Arabic" w:cs="Traditional Arabic"/>
          <w:sz w:val="32"/>
          <w:szCs w:val="32"/>
          <w:rtl/>
          <w:lang w:bidi="ar-DZ"/>
        </w:rPr>
      </w:pPr>
      <w:r w:rsidRPr="002C10B5">
        <w:rPr>
          <w:rFonts w:ascii="Traditional Arabic" w:hAnsi="Traditional Arabic" w:cs="Traditional Arabic"/>
          <w:sz w:val="32"/>
          <w:szCs w:val="32"/>
          <w:rtl/>
          <w:lang w:bidi="ar-DZ"/>
        </w:rPr>
        <w:t xml:space="preserve">        فرض النضوب المفاجئ في الأموال الأجنبية وانخفاض أسعار الأصول المحلية ضغوطا هائلة على الميزانيات العمومية في البنوك التي كانت قد اقترضت من الخارج إلى جانب انكشافها الشديد لأسواق العقارات والأسهم، وأدى ذلك إلى تباطؤ ملحوظ في التوسع الائتماني في معظم البلدان (</w:t>
      </w:r>
      <w:r w:rsidR="008346A5">
        <w:rPr>
          <w:rFonts w:ascii="Traditional Arabic" w:hAnsi="Traditional Arabic" w:cs="Traditional Arabic" w:hint="cs"/>
          <w:sz w:val="32"/>
          <w:szCs w:val="32"/>
          <w:rtl/>
          <w:lang w:bidi="ar-DZ"/>
        </w:rPr>
        <w:t xml:space="preserve">أنظر </w:t>
      </w:r>
      <w:r w:rsidRPr="002C10B5">
        <w:rPr>
          <w:rFonts w:ascii="Traditional Arabic" w:hAnsi="Traditional Arabic" w:cs="Traditional Arabic"/>
          <w:sz w:val="32"/>
          <w:szCs w:val="32"/>
          <w:rtl/>
          <w:lang w:bidi="ar-DZ"/>
        </w:rPr>
        <w:t xml:space="preserve">الشكل </w:t>
      </w:r>
      <w:r w:rsidR="005D2848">
        <w:rPr>
          <w:rFonts w:ascii="Traditional Arabic" w:hAnsi="Traditional Arabic" w:cs="Traditional Arabic" w:hint="cs"/>
          <w:sz w:val="32"/>
          <w:szCs w:val="32"/>
          <w:rtl/>
          <w:lang w:bidi="ar-DZ"/>
        </w:rPr>
        <w:t>رقم</w:t>
      </w:r>
      <w:r w:rsidRPr="002C10B5">
        <w:rPr>
          <w:rFonts w:ascii="Traditional Arabic" w:hAnsi="Traditional Arabic" w:cs="Traditional Arabic"/>
          <w:sz w:val="32"/>
          <w:szCs w:val="32"/>
          <w:rtl/>
          <w:lang w:bidi="ar-DZ"/>
        </w:rPr>
        <w:t xml:space="preserve"> </w:t>
      </w:r>
      <w:r w:rsidR="005D2848">
        <w:rPr>
          <w:rFonts w:ascii="Traditional Arabic" w:hAnsi="Traditional Arabic" w:cs="Traditional Arabic" w:hint="cs"/>
          <w:sz w:val="24"/>
          <w:szCs w:val="24"/>
          <w:rtl/>
          <w:lang w:bidi="ar-DZ"/>
        </w:rPr>
        <w:t>22</w:t>
      </w:r>
      <w:r w:rsidRPr="002C10B5">
        <w:rPr>
          <w:rFonts w:ascii="Traditional Arabic" w:hAnsi="Traditional Arabic" w:cs="Traditional Arabic"/>
          <w:sz w:val="32"/>
          <w:szCs w:val="32"/>
          <w:rtl/>
          <w:lang w:bidi="ar-DZ"/>
        </w:rPr>
        <w:t xml:space="preserve">) تراوح بأكثر من </w:t>
      </w:r>
      <w:r w:rsidRPr="002C10B5">
        <w:rPr>
          <w:rFonts w:ascii="Traditional Arabic" w:hAnsi="Traditional Arabic" w:cs="Traditional Arabic"/>
          <w:sz w:val="24"/>
          <w:szCs w:val="24"/>
          <w:rtl/>
          <w:lang w:bidi="ar-DZ"/>
        </w:rPr>
        <w:t xml:space="preserve">40 </w:t>
      </w:r>
      <w:r w:rsidRPr="002C10B5">
        <w:rPr>
          <w:rFonts w:ascii="Traditional Arabic" w:hAnsi="Traditional Arabic" w:cs="Traditional Arabic"/>
          <w:sz w:val="32"/>
          <w:szCs w:val="32"/>
          <w:rtl/>
          <w:lang w:bidi="ar-DZ"/>
        </w:rPr>
        <w:t xml:space="preserve">نقطة مئوية في قطر وما يقرب من </w:t>
      </w:r>
      <w:r w:rsidRPr="002C10B5">
        <w:rPr>
          <w:rFonts w:ascii="Traditional Arabic" w:hAnsi="Traditional Arabic" w:cs="Traditional Arabic"/>
          <w:sz w:val="24"/>
          <w:szCs w:val="24"/>
          <w:rtl/>
          <w:lang w:bidi="ar-DZ"/>
        </w:rPr>
        <w:t>5</w:t>
      </w:r>
      <w:r w:rsidRPr="002C10B5">
        <w:rPr>
          <w:rFonts w:ascii="Traditional Arabic" w:hAnsi="Traditional Arabic" w:cs="Traditional Arabic"/>
          <w:sz w:val="32"/>
          <w:szCs w:val="32"/>
          <w:rtl/>
          <w:lang w:bidi="ar-DZ"/>
        </w:rPr>
        <w:t xml:space="preserve"> نقط مئوية في الجزائر، ويرجح ذلك إلى الهبوط الكبير في نمو الودائع، القدرة المحدودة للبنوك على تدبير رأس المال وانسحاب التمويل الأجنبي (</w:t>
      </w:r>
      <w:r w:rsidR="00EC42C3">
        <w:rPr>
          <w:rFonts w:ascii="Traditional Arabic" w:hAnsi="Traditional Arabic" w:cs="Traditional Arabic" w:hint="cs"/>
          <w:sz w:val="32"/>
          <w:szCs w:val="32"/>
          <w:rtl/>
          <w:lang w:bidi="ar-DZ"/>
        </w:rPr>
        <w:t xml:space="preserve">أنظر </w:t>
      </w:r>
      <w:r w:rsidRPr="002C10B5">
        <w:rPr>
          <w:rFonts w:ascii="Traditional Arabic" w:hAnsi="Traditional Arabic" w:cs="Traditional Arabic"/>
          <w:sz w:val="32"/>
          <w:szCs w:val="32"/>
          <w:rtl/>
          <w:lang w:bidi="ar-DZ"/>
        </w:rPr>
        <w:t>الجدول</w:t>
      </w:r>
      <w:r w:rsidR="00EC42C3">
        <w:rPr>
          <w:rFonts w:ascii="Traditional Arabic" w:hAnsi="Traditional Arabic" w:cs="Traditional Arabic" w:hint="cs"/>
          <w:sz w:val="32"/>
          <w:szCs w:val="32"/>
          <w:rtl/>
          <w:lang w:bidi="ar-DZ"/>
        </w:rPr>
        <w:t xml:space="preserve"> رقم</w:t>
      </w:r>
      <w:r w:rsidRPr="002C10B5">
        <w:rPr>
          <w:rFonts w:ascii="Traditional Arabic" w:hAnsi="Traditional Arabic" w:cs="Traditional Arabic"/>
          <w:sz w:val="32"/>
          <w:szCs w:val="32"/>
          <w:rtl/>
          <w:lang w:bidi="ar-DZ"/>
        </w:rPr>
        <w:t xml:space="preserve"> </w:t>
      </w:r>
      <w:r w:rsidR="00EC42C3">
        <w:rPr>
          <w:rFonts w:ascii="Traditional Arabic" w:hAnsi="Traditional Arabic" w:cs="Traditional Arabic" w:hint="cs"/>
          <w:sz w:val="24"/>
          <w:szCs w:val="24"/>
          <w:rtl/>
          <w:lang w:bidi="ar-DZ"/>
        </w:rPr>
        <w:t>15</w:t>
      </w:r>
      <w:r w:rsidRPr="002C10B5">
        <w:rPr>
          <w:rFonts w:ascii="Traditional Arabic" w:hAnsi="Traditional Arabic" w:cs="Traditional Arabic"/>
          <w:sz w:val="32"/>
          <w:szCs w:val="32"/>
          <w:rtl/>
          <w:lang w:bidi="ar-DZ"/>
        </w:rPr>
        <w:t xml:space="preserve">)، ومن أبرز التطورات في هذا السياق التباطؤ الملحوظ في نمو ودائع الجزائر والبحرين وقطر والإمارات العربية المتحدة، وكذلك انخفاض التمويل الأجنبي في الكويت.  </w:t>
      </w:r>
    </w:p>
    <w:p w:rsidR="00096DA7" w:rsidRDefault="00096DA7" w:rsidP="00096DA7">
      <w:pPr>
        <w:tabs>
          <w:tab w:val="right" w:pos="567"/>
        </w:tabs>
        <w:bidi/>
        <w:spacing w:after="0"/>
        <w:jc w:val="both"/>
        <w:rPr>
          <w:rFonts w:ascii="Traditional Arabic" w:hAnsi="Traditional Arabic" w:cs="Traditional Arabic"/>
          <w:sz w:val="32"/>
          <w:szCs w:val="32"/>
          <w:rtl/>
          <w:lang w:bidi="ar-DZ"/>
        </w:rPr>
      </w:pPr>
    </w:p>
    <w:p w:rsidR="0032245E" w:rsidRDefault="0032245E" w:rsidP="00FA4937">
      <w:pPr>
        <w:tabs>
          <w:tab w:val="right" w:pos="567"/>
        </w:tabs>
        <w:bidi/>
        <w:spacing w:after="0"/>
        <w:jc w:val="both"/>
        <w:rPr>
          <w:rFonts w:ascii="Traditional Arabic" w:hAnsi="Traditional Arabic" w:cs="Traditional Arabic"/>
          <w:sz w:val="32"/>
          <w:szCs w:val="32"/>
          <w:rtl/>
          <w:lang w:bidi="ar-DZ"/>
        </w:rPr>
      </w:pPr>
    </w:p>
    <w:p w:rsidR="00FA4937" w:rsidRDefault="00FA4937" w:rsidP="00FA4937">
      <w:pPr>
        <w:tabs>
          <w:tab w:val="right" w:pos="567"/>
        </w:tabs>
        <w:bidi/>
        <w:spacing w:after="0"/>
        <w:jc w:val="both"/>
        <w:rPr>
          <w:rFonts w:ascii="Traditional Arabic" w:hAnsi="Traditional Arabic" w:cs="Traditional Arabic"/>
          <w:sz w:val="32"/>
          <w:szCs w:val="32"/>
          <w:rtl/>
          <w:lang w:bidi="ar-DZ"/>
        </w:rPr>
      </w:pPr>
    </w:p>
    <w:p w:rsidR="00560A38" w:rsidRPr="002C10B5" w:rsidRDefault="00560A38" w:rsidP="00DC75A7">
      <w:pPr>
        <w:tabs>
          <w:tab w:val="right" w:pos="567"/>
        </w:tabs>
        <w:bidi/>
        <w:spacing w:after="0" w:line="240" w:lineRule="auto"/>
        <w:jc w:val="both"/>
        <w:rPr>
          <w:rFonts w:ascii="Traditional Arabic" w:hAnsi="Traditional Arabic" w:cs="Traditional Arabic"/>
          <w:sz w:val="28"/>
          <w:szCs w:val="28"/>
          <w:rtl/>
          <w:lang w:bidi="ar-DZ"/>
        </w:rPr>
      </w:pPr>
      <w:r w:rsidRPr="002C10B5">
        <w:rPr>
          <w:rFonts w:ascii="Traditional Arabic" w:hAnsi="Traditional Arabic" w:cs="Traditional Arabic"/>
          <w:sz w:val="28"/>
          <w:szCs w:val="28"/>
          <w:rtl/>
          <w:lang w:bidi="ar-DZ"/>
        </w:rPr>
        <w:lastRenderedPageBreak/>
        <w:t>الشكل رقم</w:t>
      </w:r>
      <w:r w:rsidR="00745F31">
        <w:rPr>
          <w:rFonts w:ascii="Traditional Arabic" w:hAnsi="Traditional Arabic" w:cs="Traditional Arabic" w:hint="cs"/>
          <w:sz w:val="28"/>
          <w:szCs w:val="28"/>
          <w:rtl/>
          <w:lang w:bidi="ar-DZ"/>
        </w:rPr>
        <w:t xml:space="preserve"> </w:t>
      </w:r>
      <w:r w:rsidR="00745F31" w:rsidRPr="00745F31">
        <w:rPr>
          <w:rFonts w:ascii="Traditional Arabic" w:hAnsi="Traditional Arabic" w:cs="Traditional Arabic" w:hint="cs"/>
          <w:sz w:val="24"/>
          <w:szCs w:val="24"/>
          <w:rtl/>
          <w:lang w:bidi="ar-DZ"/>
        </w:rPr>
        <w:t>22</w:t>
      </w:r>
      <w:r w:rsidRPr="002C10B5">
        <w:rPr>
          <w:rFonts w:ascii="Traditional Arabic" w:hAnsi="Traditional Arabic" w:cs="Traditional Arabic"/>
          <w:sz w:val="28"/>
          <w:szCs w:val="28"/>
          <w:rtl/>
          <w:lang w:bidi="ar-DZ"/>
        </w:rPr>
        <w:t>: نمو الائت</w:t>
      </w:r>
      <w:r w:rsidR="00745F31">
        <w:rPr>
          <w:rFonts w:ascii="Traditional Arabic" w:hAnsi="Traditional Arabic" w:cs="Traditional Arabic"/>
          <w:sz w:val="28"/>
          <w:szCs w:val="28"/>
          <w:rtl/>
          <w:lang w:bidi="ar-DZ"/>
        </w:rPr>
        <w:t xml:space="preserve">مان المقدم للقطاع الخاص    </w:t>
      </w:r>
      <w:r w:rsidRPr="002C10B5">
        <w:rPr>
          <w:rFonts w:ascii="Traditional Arabic" w:hAnsi="Traditional Arabic" w:cs="Traditional Arabic"/>
          <w:sz w:val="28"/>
          <w:szCs w:val="28"/>
          <w:rtl/>
          <w:lang w:bidi="ar-DZ"/>
        </w:rPr>
        <w:t xml:space="preserve">           الشكل رقم</w:t>
      </w:r>
      <w:r w:rsidR="00CE4120">
        <w:rPr>
          <w:rFonts w:ascii="Traditional Arabic" w:hAnsi="Traditional Arabic" w:cs="Traditional Arabic" w:hint="cs"/>
          <w:sz w:val="28"/>
          <w:szCs w:val="28"/>
          <w:rtl/>
          <w:lang w:bidi="ar-DZ"/>
        </w:rPr>
        <w:t xml:space="preserve"> </w:t>
      </w:r>
      <w:r w:rsidR="00CE4120" w:rsidRPr="00CE4120">
        <w:rPr>
          <w:rFonts w:ascii="Traditional Arabic" w:hAnsi="Traditional Arabic" w:cs="Traditional Arabic" w:hint="cs"/>
          <w:sz w:val="24"/>
          <w:szCs w:val="24"/>
          <w:rtl/>
          <w:lang w:bidi="ar-DZ"/>
        </w:rPr>
        <w:t>23</w:t>
      </w:r>
      <w:r w:rsidRPr="002C10B5">
        <w:rPr>
          <w:rFonts w:ascii="Traditional Arabic" w:hAnsi="Traditional Arabic" w:cs="Traditional Arabic"/>
          <w:sz w:val="28"/>
          <w:szCs w:val="28"/>
          <w:rtl/>
          <w:lang w:bidi="ar-DZ"/>
        </w:rPr>
        <w:t>: صافي الائتمان المقدم من البنك المركزي إلى</w:t>
      </w:r>
    </w:p>
    <w:p w:rsidR="00560A38" w:rsidRPr="002C10B5" w:rsidRDefault="00560A38" w:rsidP="00CE4120">
      <w:pPr>
        <w:tabs>
          <w:tab w:val="right" w:pos="567"/>
          <w:tab w:val="right" w:pos="4675"/>
          <w:tab w:val="right" w:pos="4817"/>
        </w:tabs>
        <w:bidi/>
        <w:spacing w:after="0" w:line="240" w:lineRule="auto"/>
        <w:jc w:val="both"/>
        <w:rPr>
          <w:rFonts w:ascii="Traditional Arabic" w:hAnsi="Traditional Arabic" w:cs="Traditional Arabic"/>
          <w:sz w:val="28"/>
          <w:szCs w:val="28"/>
          <w:rtl/>
          <w:lang w:bidi="ar-DZ"/>
        </w:rPr>
      </w:pPr>
      <w:r w:rsidRPr="002C10B5">
        <w:rPr>
          <w:rFonts w:ascii="Traditional Arabic" w:hAnsi="Traditional Arabic" w:cs="Traditional Arabic"/>
          <w:sz w:val="28"/>
          <w:szCs w:val="28"/>
          <w:rtl/>
          <w:lang w:bidi="ar-DZ"/>
        </w:rPr>
        <w:t>(</w:t>
      </w:r>
      <w:r w:rsidRPr="002C10B5">
        <w:rPr>
          <w:rFonts w:ascii="Traditional Arabic" w:hAnsi="Traditional Arabic" w:cs="Traditional Arabic"/>
          <w:rtl/>
          <w:lang w:bidi="ar-DZ"/>
        </w:rPr>
        <w:t>%</w:t>
      </w:r>
      <w:r w:rsidRPr="002C10B5">
        <w:rPr>
          <w:rFonts w:ascii="Traditional Arabic" w:hAnsi="Traditional Arabic" w:cs="Traditional Arabic"/>
          <w:sz w:val="28"/>
          <w:szCs w:val="28"/>
          <w:rtl/>
          <w:lang w:bidi="ar-DZ"/>
        </w:rPr>
        <w:t xml:space="preserve"> على أساس سنوي مقارن).                                    الجهاز المصرفي (التغيير كنسبة مؤوية من القاعدة النقدية).</w:t>
      </w:r>
    </w:p>
    <w:p w:rsidR="00560A38" w:rsidRPr="002C10B5" w:rsidRDefault="00560A38" w:rsidP="00560A38">
      <w:pPr>
        <w:tabs>
          <w:tab w:val="right" w:pos="567"/>
        </w:tabs>
        <w:bidi/>
        <w:spacing w:after="0"/>
        <w:jc w:val="both"/>
        <w:rPr>
          <w:rFonts w:ascii="Traditional Arabic" w:hAnsi="Traditional Arabic" w:cs="Traditional Arabic"/>
          <w:sz w:val="28"/>
          <w:szCs w:val="28"/>
          <w:rtl/>
          <w:lang w:bidi="ar-DZ"/>
        </w:rPr>
      </w:pPr>
      <w:r w:rsidRPr="00E47A16">
        <w:rPr>
          <w:rFonts w:ascii="Traditional Arabic" w:hAnsi="Traditional Arabic" w:cs="Traditional Arabic"/>
          <w:noProof/>
          <w:sz w:val="28"/>
          <w:szCs w:val="28"/>
          <w:rtl/>
        </w:rPr>
        <w:drawing>
          <wp:inline distT="0" distB="0" distL="0" distR="0">
            <wp:extent cx="2691993" cy="2421331"/>
            <wp:effectExtent l="0" t="0" r="0" b="0"/>
            <wp:docPr id="10" name="Obje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3400" cy="3838575"/>
                      <a:chOff x="1828800" y="2486025"/>
                      <a:chExt cx="5613400" cy="3838575"/>
                    </a:xfrm>
                  </a:grpSpPr>
                  <a:grpSp>
                    <a:nvGrpSpPr>
                      <a:cNvPr id="459784" name="Group 8"/>
                      <a:cNvGrpSpPr>
                        <a:grpSpLocks noChangeAspect="1"/>
                      </a:cNvGrpSpPr>
                    </a:nvGrpSpPr>
                    <a:grpSpPr bwMode="auto">
                      <a:xfrm>
                        <a:off x="1828800" y="2486025"/>
                        <a:ext cx="5613400" cy="3838575"/>
                        <a:chOff x="1152" y="1440"/>
                        <a:chExt cx="3536" cy="2418"/>
                      </a:xfrm>
                    </a:grpSpPr>
                    <a:sp>
                      <a:nvSpPr>
                        <a:cNvPr id="459783" name="AutoShape 7"/>
                        <a:cNvSpPr>
                          <a:spLocks noChangeAspect="1" noChangeArrowheads="1" noTextEdit="1"/>
                        </a:cNvSpPr>
                      </a:nvSpPr>
                      <a:spPr bwMode="auto">
                        <a:xfrm>
                          <a:off x="1152" y="1440"/>
                          <a:ext cx="3536" cy="2418"/>
                        </a:xfrm>
                        <a:prstGeom prst="rect">
                          <a:avLst/>
                        </a:prstGeom>
                        <a:noFill/>
                        <a:ln w="9525">
                          <a:no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nvGrpSpPr>
                        <a:cNvPr id="4" name="Group 209"/>
                        <a:cNvGrpSpPr>
                          <a:grpSpLocks/>
                        </a:cNvGrpSpPr>
                      </a:nvGrpSpPr>
                      <a:grpSpPr bwMode="auto">
                        <a:xfrm>
                          <a:off x="1437" y="3001"/>
                          <a:ext cx="3230" cy="584"/>
                          <a:chOff x="1437" y="3001"/>
                          <a:chExt cx="3230" cy="584"/>
                        </a:xfrm>
                      </a:grpSpPr>
                      <a:sp>
                        <a:nvSpPr>
                          <a:cNvPr id="459785" name="Rectangle 9"/>
                          <a:cNvSpPr>
                            <a:spLocks noChangeArrowheads="1"/>
                          </a:cNvSpPr>
                        </a:nvSpPr>
                        <a:spPr bwMode="auto">
                          <a:xfrm>
                            <a:off x="1437"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86" name="Rectangle 10"/>
                          <a:cNvSpPr>
                            <a:spLocks noChangeArrowheads="1"/>
                          </a:cNvSpPr>
                        </a:nvSpPr>
                        <a:spPr bwMode="auto">
                          <a:xfrm>
                            <a:off x="146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87" name="Rectangle 11"/>
                          <a:cNvSpPr>
                            <a:spLocks noChangeArrowheads="1"/>
                          </a:cNvSpPr>
                        </a:nvSpPr>
                        <a:spPr bwMode="auto">
                          <a:xfrm>
                            <a:off x="149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88" name="Rectangle 12"/>
                          <a:cNvSpPr>
                            <a:spLocks noChangeArrowheads="1"/>
                          </a:cNvSpPr>
                        </a:nvSpPr>
                        <a:spPr bwMode="auto">
                          <a:xfrm>
                            <a:off x="152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89" name="Rectangle 13"/>
                          <a:cNvSpPr>
                            <a:spLocks noChangeArrowheads="1"/>
                          </a:cNvSpPr>
                        </a:nvSpPr>
                        <a:spPr bwMode="auto">
                          <a:xfrm>
                            <a:off x="155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0" name="Rectangle 14"/>
                          <a:cNvSpPr>
                            <a:spLocks noChangeArrowheads="1"/>
                          </a:cNvSpPr>
                        </a:nvSpPr>
                        <a:spPr bwMode="auto">
                          <a:xfrm>
                            <a:off x="158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1" name="Rectangle 15"/>
                          <a:cNvSpPr>
                            <a:spLocks noChangeArrowheads="1"/>
                          </a:cNvSpPr>
                        </a:nvSpPr>
                        <a:spPr bwMode="auto">
                          <a:xfrm>
                            <a:off x="161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2" name="Rectangle 16"/>
                          <a:cNvSpPr>
                            <a:spLocks noChangeArrowheads="1"/>
                          </a:cNvSpPr>
                        </a:nvSpPr>
                        <a:spPr bwMode="auto">
                          <a:xfrm>
                            <a:off x="164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3" name="Rectangle 17"/>
                          <a:cNvSpPr>
                            <a:spLocks noChangeArrowheads="1"/>
                          </a:cNvSpPr>
                        </a:nvSpPr>
                        <a:spPr bwMode="auto">
                          <a:xfrm>
                            <a:off x="167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4" name="Rectangle 18"/>
                          <a:cNvSpPr>
                            <a:spLocks noChangeArrowheads="1"/>
                          </a:cNvSpPr>
                        </a:nvSpPr>
                        <a:spPr bwMode="auto">
                          <a:xfrm>
                            <a:off x="170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5" name="Rectangle 19"/>
                          <a:cNvSpPr>
                            <a:spLocks noChangeArrowheads="1"/>
                          </a:cNvSpPr>
                        </a:nvSpPr>
                        <a:spPr bwMode="auto">
                          <a:xfrm>
                            <a:off x="173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6" name="Rectangle 20"/>
                          <a:cNvSpPr>
                            <a:spLocks noChangeArrowheads="1"/>
                          </a:cNvSpPr>
                        </a:nvSpPr>
                        <a:spPr bwMode="auto">
                          <a:xfrm>
                            <a:off x="1765"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7" name="Rectangle 21"/>
                          <a:cNvSpPr>
                            <a:spLocks noChangeArrowheads="1"/>
                          </a:cNvSpPr>
                        </a:nvSpPr>
                        <a:spPr bwMode="auto">
                          <a:xfrm>
                            <a:off x="179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8" name="Rectangle 22"/>
                          <a:cNvSpPr>
                            <a:spLocks noChangeArrowheads="1"/>
                          </a:cNvSpPr>
                        </a:nvSpPr>
                        <a:spPr bwMode="auto">
                          <a:xfrm>
                            <a:off x="182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799" name="Rectangle 23"/>
                          <a:cNvSpPr>
                            <a:spLocks noChangeArrowheads="1"/>
                          </a:cNvSpPr>
                        </a:nvSpPr>
                        <a:spPr bwMode="auto">
                          <a:xfrm>
                            <a:off x="185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0" name="Rectangle 24"/>
                          <a:cNvSpPr>
                            <a:spLocks noChangeArrowheads="1"/>
                          </a:cNvSpPr>
                        </a:nvSpPr>
                        <a:spPr bwMode="auto">
                          <a:xfrm>
                            <a:off x="188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1" name="Rectangle 25"/>
                          <a:cNvSpPr>
                            <a:spLocks noChangeArrowheads="1"/>
                          </a:cNvSpPr>
                        </a:nvSpPr>
                        <a:spPr bwMode="auto">
                          <a:xfrm>
                            <a:off x="191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2" name="Rectangle 26"/>
                          <a:cNvSpPr>
                            <a:spLocks noChangeArrowheads="1"/>
                          </a:cNvSpPr>
                        </a:nvSpPr>
                        <a:spPr bwMode="auto">
                          <a:xfrm>
                            <a:off x="194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3" name="Rectangle 27"/>
                          <a:cNvSpPr>
                            <a:spLocks noChangeArrowheads="1"/>
                          </a:cNvSpPr>
                        </a:nvSpPr>
                        <a:spPr bwMode="auto">
                          <a:xfrm>
                            <a:off x="197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4" name="Rectangle 28"/>
                          <a:cNvSpPr>
                            <a:spLocks noChangeArrowheads="1"/>
                          </a:cNvSpPr>
                        </a:nvSpPr>
                        <a:spPr bwMode="auto">
                          <a:xfrm>
                            <a:off x="200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5" name="Rectangle 29"/>
                          <a:cNvSpPr>
                            <a:spLocks noChangeArrowheads="1"/>
                          </a:cNvSpPr>
                        </a:nvSpPr>
                        <a:spPr bwMode="auto">
                          <a:xfrm>
                            <a:off x="203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6" name="Rectangle 30"/>
                          <a:cNvSpPr>
                            <a:spLocks noChangeArrowheads="1"/>
                          </a:cNvSpPr>
                        </a:nvSpPr>
                        <a:spPr bwMode="auto">
                          <a:xfrm>
                            <a:off x="206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7" name="Rectangle 31"/>
                          <a:cNvSpPr>
                            <a:spLocks noChangeArrowheads="1"/>
                          </a:cNvSpPr>
                        </a:nvSpPr>
                        <a:spPr bwMode="auto">
                          <a:xfrm>
                            <a:off x="2093"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8" name="Rectangle 32"/>
                          <a:cNvSpPr>
                            <a:spLocks noChangeArrowheads="1"/>
                          </a:cNvSpPr>
                        </a:nvSpPr>
                        <a:spPr bwMode="auto">
                          <a:xfrm>
                            <a:off x="212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09" name="Rectangle 33"/>
                          <a:cNvSpPr>
                            <a:spLocks noChangeArrowheads="1"/>
                          </a:cNvSpPr>
                        </a:nvSpPr>
                        <a:spPr bwMode="auto">
                          <a:xfrm>
                            <a:off x="215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0" name="Rectangle 34"/>
                          <a:cNvSpPr>
                            <a:spLocks noChangeArrowheads="1"/>
                          </a:cNvSpPr>
                        </a:nvSpPr>
                        <a:spPr bwMode="auto">
                          <a:xfrm>
                            <a:off x="218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1" name="Rectangle 35"/>
                          <a:cNvSpPr>
                            <a:spLocks noChangeArrowheads="1"/>
                          </a:cNvSpPr>
                        </a:nvSpPr>
                        <a:spPr bwMode="auto">
                          <a:xfrm>
                            <a:off x="221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2" name="Rectangle 36"/>
                          <a:cNvSpPr>
                            <a:spLocks noChangeArrowheads="1"/>
                          </a:cNvSpPr>
                        </a:nvSpPr>
                        <a:spPr bwMode="auto">
                          <a:xfrm>
                            <a:off x="224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3" name="Rectangle 37"/>
                          <a:cNvSpPr>
                            <a:spLocks noChangeArrowheads="1"/>
                          </a:cNvSpPr>
                        </a:nvSpPr>
                        <a:spPr bwMode="auto">
                          <a:xfrm>
                            <a:off x="227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4" name="Rectangle 38"/>
                          <a:cNvSpPr>
                            <a:spLocks noChangeArrowheads="1"/>
                          </a:cNvSpPr>
                        </a:nvSpPr>
                        <a:spPr bwMode="auto">
                          <a:xfrm>
                            <a:off x="230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5" name="Rectangle 39"/>
                          <a:cNvSpPr>
                            <a:spLocks noChangeArrowheads="1"/>
                          </a:cNvSpPr>
                        </a:nvSpPr>
                        <a:spPr bwMode="auto">
                          <a:xfrm>
                            <a:off x="233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6" name="Rectangle 40"/>
                          <a:cNvSpPr>
                            <a:spLocks noChangeArrowheads="1"/>
                          </a:cNvSpPr>
                        </a:nvSpPr>
                        <a:spPr bwMode="auto">
                          <a:xfrm>
                            <a:off x="236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7" name="Rectangle 41"/>
                          <a:cNvSpPr>
                            <a:spLocks noChangeArrowheads="1"/>
                          </a:cNvSpPr>
                        </a:nvSpPr>
                        <a:spPr bwMode="auto">
                          <a:xfrm>
                            <a:off x="239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8" name="Rectangle 42"/>
                          <a:cNvSpPr>
                            <a:spLocks noChangeArrowheads="1"/>
                          </a:cNvSpPr>
                        </a:nvSpPr>
                        <a:spPr bwMode="auto">
                          <a:xfrm>
                            <a:off x="2421"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19" name="Rectangle 43"/>
                          <a:cNvSpPr>
                            <a:spLocks noChangeArrowheads="1"/>
                          </a:cNvSpPr>
                        </a:nvSpPr>
                        <a:spPr bwMode="auto">
                          <a:xfrm>
                            <a:off x="245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0" name="Rectangle 44"/>
                          <a:cNvSpPr>
                            <a:spLocks noChangeArrowheads="1"/>
                          </a:cNvSpPr>
                        </a:nvSpPr>
                        <a:spPr bwMode="auto">
                          <a:xfrm>
                            <a:off x="248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1" name="Rectangle 45"/>
                          <a:cNvSpPr>
                            <a:spLocks noChangeArrowheads="1"/>
                          </a:cNvSpPr>
                        </a:nvSpPr>
                        <a:spPr bwMode="auto">
                          <a:xfrm>
                            <a:off x="251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2" name="Rectangle 46"/>
                          <a:cNvSpPr>
                            <a:spLocks noChangeArrowheads="1"/>
                          </a:cNvSpPr>
                        </a:nvSpPr>
                        <a:spPr bwMode="auto">
                          <a:xfrm>
                            <a:off x="254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3" name="Rectangle 47"/>
                          <a:cNvSpPr>
                            <a:spLocks noChangeArrowheads="1"/>
                          </a:cNvSpPr>
                        </a:nvSpPr>
                        <a:spPr bwMode="auto">
                          <a:xfrm>
                            <a:off x="257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4" name="Rectangle 48"/>
                          <a:cNvSpPr>
                            <a:spLocks noChangeArrowheads="1"/>
                          </a:cNvSpPr>
                        </a:nvSpPr>
                        <a:spPr bwMode="auto">
                          <a:xfrm>
                            <a:off x="259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5" name="Rectangle 49"/>
                          <a:cNvSpPr>
                            <a:spLocks noChangeArrowheads="1"/>
                          </a:cNvSpPr>
                        </a:nvSpPr>
                        <a:spPr bwMode="auto">
                          <a:xfrm>
                            <a:off x="262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6" name="Rectangle 50"/>
                          <a:cNvSpPr>
                            <a:spLocks noChangeArrowheads="1"/>
                          </a:cNvSpPr>
                        </a:nvSpPr>
                        <a:spPr bwMode="auto">
                          <a:xfrm>
                            <a:off x="265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7" name="Rectangle 51"/>
                          <a:cNvSpPr>
                            <a:spLocks noChangeArrowheads="1"/>
                          </a:cNvSpPr>
                        </a:nvSpPr>
                        <a:spPr bwMode="auto">
                          <a:xfrm>
                            <a:off x="268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8" name="Rectangle 52"/>
                          <a:cNvSpPr>
                            <a:spLocks noChangeArrowheads="1"/>
                          </a:cNvSpPr>
                        </a:nvSpPr>
                        <a:spPr bwMode="auto">
                          <a:xfrm>
                            <a:off x="271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29" name="Rectangle 53"/>
                          <a:cNvSpPr>
                            <a:spLocks noChangeArrowheads="1"/>
                          </a:cNvSpPr>
                        </a:nvSpPr>
                        <a:spPr bwMode="auto">
                          <a:xfrm>
                            <a:off x="2749"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0" name="Rectangle 54"/>
                          <a:cNvSpPr>
                            <a:spLocks noChangeArrowheads="1"/>
                          </a:cNvSpPr>
                        </a:nvSpPr>
                        <a:spPr bwMode="auto">
                          <a:xfrm>
                            <a:off x="277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1" name="Rectangle 55"/>
                          <a:cNvSpPr>
                            <a:spLocks noChangeArrowheads="1"/>
                          </a:cNvSpPr>
                        </a:nvSpPr>
                        <a:spPr bwMode="auto">
                          <a:xfrm>
                            <a:off x="280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2" name="Rectangle 56"/>
                          <a:cNvSpPr>
                            <a:spLocks noChangeArrowheads="1"/>
                          </a:cNvSpPr>
                        </a:nvSpPr>
                        <a:spPr bwMode="auto">
                          <a:xfrm>
                            <a:off x="283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3" name="Rectangle 57"/>
                          <a:cNvSpPr>
                            <a:spLocks noChangeArrowheads="1"/>
                          </a:cNvSpPr>
                        </a:nvSpPr>
                        <a:spPr bwMode="auto">
                          <a:xfrm>
                            <a:off x="286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4" name="Rectangle 58"/>
                          <a:cNvSpPr>
                            <a:spLocks noChangeArrowheads="1"/>
                          </a:cNvSpPr>
                        </a:nvSpPr>
                        <a:spPr bwMode="auto">
                          <a:xfrm>
                            <a:off x="289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5" name="Rectangle 59"/>
                          <a:cNvSpPr>
                            <a:spLocks noChangeArrowheads="1"/>
                          </a:cNvSpPr>
                        </a:nvSpPr>
                        <a:spPr bwMode="auto">
                          <a:xfrm>
                            <a:off x="292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6" name="Rectangle 60"/>
                          <a:cNvSpPr>
                            <a:spLocks noChangeArrowheads="1"/>
                          </a:cNvSpPr>
                        </a:nvSpPr>
                        <a:spPr bwMode="auto">
                          <a:xfrm>
                            <a:off x="295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7" name="Rectangle 61"/>
                          <a:cNvSpPr>
                            <a:spLocks noChangeArrowheads="1"/>
                          </a:cNvSpPr>
                        </a:nvSpPr>
                        <a:spPr bwMode="auto">
                          <a:xfrm>
                            <a:off x="298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8" name="Rectangle 62"/>
                          <a:cNvSpPr>
                            <a:spLocks noChangeArrowheads="1"/>
                          </a:cNvSpPr>
                        </a:nvSpPr>
                        <a:spPr bwMode="auto">
                          <a:xfrm>
                            <a:off x="301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39" name="Rectangle 63"/>
                          <a:cNvSpPr>
                            <a:spLocks noChangeArrowheads="1"/>
                          </a:cNvSpPr>
                        </a:nvSpPr>
                        <a:spPr bwMode="auto">
                          <a:xfrm>
                            <a:off x="304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0" name="Rectangle 64"/>
                          <a:cNvSpPr>
                            <a:spLocks noChangeArrowheads="1"/>
                          </a:cNvSpPr>
                        </a:nvSpPr>
                        <a:spPr bwMode="auto">
                          <a:xfrm>
                            <a:off x="307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1" name="Rectangle 65"/>
                          <a:cNvSpPr>
                            <a:spLocks noChangeArrowheads="1"/>
                          </a:cNvSpPr>
                        </a:nvSpPr>
                        <a:spPr bwMode="auto">
                          <a:xfrm>
                            <a:off x="310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2" name="Rectangle 66"/>
                          <a:cNvSpPr>
                            <a:spLocks noChangeArrowheads="1"/>
                          </a:cNvSpPr>
                        </a:nvSpPr>
                        <a:spPr bwMode="auto">
                          <a:xfrm>
                            <a:off x="313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3" name="Rectangle 67"/>
                          <a:cNvSpPr>
                            <a:spLocks noChangeArrowheads="1"/>
                          </a:cNvSpPr>
                        </a:nvSpPr>
                        <a:spPr bwMode="auto">
                          <a:xfrm>
                            <a:off x="316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4" name="Rectangle 68"/>
                          <a:cNvSpPr>
                            <a:spLocks noChangeArrowheads="1"/>
                          </a:cNvSpPr>
                        </a:nvSpPr>
                        <a:spPr bwMode="auto">
                          <a:xfrm>
                            <a:off x="319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5" name="Rectangle 69"/>
                          <a:cNvSpPr>
                            <a:spLocks noChangeArrowheads="1"/>
                          </a:cNvSpPr>
                        </a:nvSpPr>
                        <a:spPr bwMode="auto">
                          <a:xfrm>
                            <a:off x="3226"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6" name="Rectangle 70"/>
                          <a:cNvSpPr>
                            <a:spLocks noChangeArrowheads="1"/>
                          </a:cNvSpPr>
                        </a:nvSpPr>
                        <a:spPr bwMode="auto">
                          <a:xfrm>
                            <a:off x="325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7" name="Rectangle 71"/>
                          <a:cNvSpPr>
                            <a:spLocks noChangeArrowheads="1"/>
                          </a:cNvSpPr>
                        </a:nvSpPr>
                        <a:spPr bwMode="auto">
                          <a:xfrm>
                            <a:off x="328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8" name="Rectangle 72"/>
                          <a:cNvSpPr>
                            <a:spLocks noChangeArrowheads="1"/>
                          </a:cNvSpPr>
                        </a:nvSpPr>
                        <a:spPr bwMode="auto">
                          <a:xfrm>
                            <a:off x="331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49" name="Rectangle 73"/>
                          <a:cNvSpPr>
                            <a:spLocks noChangeArrowheads="1"/>
                          </a:cNvSpPr>
                        </a:nvSpPr>
                        <a:spPr bwMode="auto">
                          <a:xfrm>
                            <a:off x="334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0" name="Rectangle 74"/>
                          <a:cNvSpPr>
                            <a:spLocks noChangeArrowheads="1"/>
                          </a:cNvSpPr>
                        </a:nvSpPr>
                        <a:spPr bwMode="auto">
                          <a:xfrm>
                            <a:off x="337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1" name="Rectangle 75"/>
                          <a:cNvSpPr>
                            <a:spLocks noChangeArrowheads="1"/>
                          </a:cNvSpPr>
                        </a:nvSpPr>
                        <a:spPr bwMode="auto">
                          <a:xfrm>
                            <a:off x="3405"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2" name="Rectangle 76"/>
                          <a:cNvSpPr>
                            <a:spLocks noChangeArrowheads="1"/>
                          </a:cNvSpPr>
                        </a:nvSpPr>
                        <a:spPr bwMode="auto">
                          <a:xfrm>
                            <a:off x="343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3" name="Rectangle 77"/>
                          <a:cNvSpPr>
                            <a:spLocks noChangeArrowheads="1"/>
                          </a:cNvSpPr>
                        </a:nvSpPr>
                        <a:spPr bwMode="auto">
                          <a:xfrm>
                            <a:off x="346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4" name="Rectangle 78"/>
                          <a:cNvSpPr>
                            <a:spLocks noChangeArrowheads="1"/>
                          </a:cNvSpPr>
                        </a:nvSpPr>
                        <a:spPr bwMode="auto">
                          <a:xfrm>
                            <a:off x="349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5" name="Rectangle 79"/>
                          <a:cNvSpPr>
                            <a:spLocks noChangeArrowheads="1"/>
                          </a:cNvSpPr>
                        </a:nvSpPr>
                        <a:spPr bwMode="auto">
                          <a:xfrm>
                            <a:off x="352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6" name="Rectangle 80"/>
                          <a:cNvSpPr>
                            <a:spLocks noChangeArrowheads="1"/>
                          </a:cNvSpPr>
                        </a:nvSpPr>
                        <a:spPr bwMode="auto">
                          <a:xfrm>
                            <a:off x="3554"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7" name="Rectangle 81"/>
                          <a:cNvSpPr>
                            <a:spLocks noChangeArrowheads="1"/>
                          </a:cNvSpPr>
                        </a:nvSpPr>
                        <a:spPr bwMode="auto">
                          <a:xfrm>
                            <a:off x="358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8" name="Rectangle 82"/>
                          <a:cNvSpPr>
                            <a:spLocks noChangeArrowheads="1"/>
                          </a:cNvSpPr>
                        </a:nvSpPr>
                        <a:spPr bwMode="auto">
                          <a:xfrm>
                            <a:off x="361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59" name="Rectangle 83"/>
                          <a:cNvSpPr>
                            <a:spLocks noChangeArrowheads="1"/>
                          </a:cNvSpPr>
                        </a:nvSpPr>
                        <a:spPr bwMode="auto">
                          <a:xfrm>
                            <a:off x="364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0" name="Rectangle 84"/>
                          <a:cNvSpPr>
                            <a:spLocks noChangeArrowheads="1"/>
                          </a:cNvSpPr>
                        </a:nvSpPr>
                        <a:spPr bwMode="auto">
                          <a:xfrm>
                            <a:off x="367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1" name="Rectangle 85"/>
                          <a:cNvSpPr>
                            <a:spLocks noChangeArrowheads="1"/>
                          </a:cNvSpPr>
                        </a:nvSpPr>
                        <a:spPr bwMode="auto">
                          <a:xfrm>
                            <a:off x="370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2" name="Rectangle 86"/>
                          <a:cNvSpPr>
                            <a:spLocks noChangeArrowheads="1"/>
                          </a:cNvSpPr>
                        </a:nvSpPr>
                        <a:spPr bwMode="auto">
                          <a:xfrm>
                            <a:off x="3733"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3" name="Rectangle 87"/>
                          <a:cNvSpPr>
                            <a:spLocks noChangeArrowheads="1"/>
                          </a:cNvSpPr>
                        </a:nvSpPr>
                        <a:spPr bwMode="auto">
                          <a:xfrm>
                            <a:off x="376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4" name="Rectangle 88"/>
                          <a:cNvSpPr>
                            <a:spLocks noChangeArrowheads="1"/>
                          </a:cNvSpPr>
                        </a:nvSpPr>
                        <a:spPr bwMode="auto">
                          <a:xfrm>
                            <a:off x="379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5" name="Rectangle 89"/>
                          <a:cNvSpPr>
                            <a:spLocks noChangeArrowheads="1"/>
                          </a:cNvSpPr>
                        </a:nvSpPr>
                        <a:spPr bwMode="auto">
                          <a:xfrm>
                            <a:off x="382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6" name="Rectangle 90"/>
                          <a:cNvSpPr>
                            <a:spLocks noChangeArrowheads="1"/>
                          </a:cNvSpPr>
                        </a:nvSpPr>
                        <a:spPr bwMode="auto">
                          <a:xfrm>
                            <a:off x="385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7" name="Rectangle 91"/>
                          <a:cNvSpPr>
                            <a:spLocks noChangeArrowheads="1"/>
                          </a:cNvSpPr>
                        </a:nvSpPr>
                        <a:spPr bwMode="auto">
                          <a:xfrm>
                            <a:off x="3882"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8" name="Rectangle 92"/>
                          <a:cNvSpPr>
                            <a:spLocks noChangeArrowheads="1"/>
                          </a:cNvSpPr>
                        </a:nvSpPr>
                        <a:spPr bwMode="auto">
                          <a:xfrm>
                            <a:off x="391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69" name="Rectangle 93"/>
                          <a:cNvSpPr>
                            <a:spLocks noChangeArrowheads="1"/>
                          </a:cNvSpPr>
                        </a:nvSpPr>
                        <a:spPr bwMode="auto">
                          <a:xfrm>
                            <a:off x="394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0" name="Rectangle 94"/>
                          <a:cNvSpPr>
                            <a:spLocks noChangeArrowheads="1"/>
                          </a:cNvSpPr>
                        </a:nvSpPr>
                        <a:spPr bwMode="auto">
                          <a:xfrm>
                            <a:off x="397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1" name="Rectangle 95"/>
                          <a:cNvSpPr>
                            <a:spLocks noChangeArrowheads="1"/>
                          </a:cNvSpPr>
                        </a:nvSpPr>
                        <a:spPr bwMode="auto">
                          <a:xfrm>
                            <a:off x="400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2" name="Rectangle 96"/>
                          <a:cNvSpPr>
                            <a:spLocks noChangeArrowheads="1"/>
                          </a:cNvSpPr>
                        </a:nvSpPr>
                        <a:spPr bwMode="auto">
                          <a:xfrm>
                            <a:off x="403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3" name="Rectangle 97"/>
                          <a:cNvSpPr>
                            <a:spLocks noChangeArrowheads="1"/>
                          </a:cNvSpPr>
                        </a:nvSpPr>
                        <a:spPr bwMode="auto">
                          <a:xfrm>
                            <a:off x="4061"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4" name="Rectangle 98"/>
                          <a:cNvSpPr>
                            <a:spLocks noChangeArrowheads="1"/>
                          </a:cNvSpPr>
                        </a:nvSpPr>
                        <a:spPr bwMode="auto">
                          <a:xfrm>
                            <a:off x="409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5" name="Rectangle 99"/>
                          <a:cNvSpPr>
                            <a:spLocks noChangeArrowheads="1"/>
                          </a:cNvSpPr>
                        </a:nvSpPr>
                        <a:spPr bwMode="auto">
                          <a:xfrm>
                            <a:off x="412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6" name="Rectangle 100"/>
                          <a:cNvSpPr>
                            <a:spLocks noChangeArrowheads="1"/>
                          </a:cNvSpPr>
                        </a:nvSpPr>
                        <a:spPr bwMode="auto">
                          <a:xfrm>
                            <a:off x="415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7" name="Rectangle 101"/>
                          <a:cNvSpPr>
                            <a:spLocks noChangeArrowheads="1"/>
                          </a:cNvSpPr>
                        </a:nvSpPr>
                        <a:spPr bwMode="auto">
                          <a:xfrm>
                            <a:off x="418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8" name="Rectangle 102"/>
                          <a:cNvSpPr>
                            <a:spLocks noChangeArrowheads="1"/>
                          </a:cNvSpPr>
                        </a:nvSpPr>
                        <a:spPr bwMode="auto">
                          <a:xfrm>
                            <a:off x="4210"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79" name="Rectangle 103"/>
                          <a:cNvSpPr>
                            <a:spLocks noChangeArrowheads="1"/>
                          </a:cNvSpPr>
                        </a:nvSpPr>
                        <a:spPr bwMode="auto">
                          <a:xfrm>
                            <a:off x="4240"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0" name="Rectangle 104"/>
                          <a:cNvSpPr>
                            <a:spLocks noChangeArrowheads="1"/>
                          </a:cNvSpPr>
                        </a:nvSpPr>
                        <a:spPr bwMode="auto">
                          <a:xfrm>
                            <a:off x="426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1" name="Rectangle 105"/>
                          <a:cNvSpPr>
                            <a:spLocks noChangeArrowheads="1"/>
                          </a:cNvSpPr>
                        </a:nvSpPr>
                        <a:spPr bwMode="auto">
                          <a:xfrm>
                            <a:off x="429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2" name="Rectangle 106"/>
                          <a:cNvSpPr>
                            <a:spLocks noChangeArrowheads="1"/>
                          </a:cNvSpPr>
                        </a:nvSpPr>
                        <a:spPr bwMode="auto">
                          <a:xfrm>
                            <a:off x="432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3" name="Rectangle 107"/>
                          <a:cNvSpPr>
                            <a:spLocks noChangeArrowheads="1"/>
                          </a:cNvSpPr>
                        </a:nvSpPr>
                        <a:spPr bwMode="auto">
                          <a:xfrm>
                            <a:off x="435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4" name="Rectangle 108"/>
                          <a:cNvSpPr>
                            <a:spLocks noChangeArrowheads="1"/>
                          </a:cNvSpPr>
                        </a:nvSpPr>
                        <a:spPr bwMode="auto">
                          <a:xfrm>
                            <a:off x="4389"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5" name="Rectangle 109"/>
                          <a:cNvSpPr>
                            <a:spLocks noChangeArrowheads="1"/>
                          </a:cNvSpPr>
                        </a:nvSpPr>
                        <a:spPr bwMode="auto">
                          <a:xfrm>
                            <a:off x="441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6" name="Rectangle 110"/>
                          <a:cNvSpPr>
                            <a:spLocks noChangeArrowheads="1"/>
                          </a:cNvSpPr>
                        </a:nvSpPr>
                        <a:spPr bwMode="auto">
                          <a:xfrm>
                            <a:off x="444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7" name="Rectangle 111"/>
                          <a:cNvSpPr>
                            <a:spLocks noChangeArrowheads="1"/>
                          </a:cNvSpPr>
                        </a:nvSpPr>
                        <a:spPr bwMode="auto">
                          <a:xfrm>
                            <a:off x="447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8" name="Rectangle 112"/>
                          <a:cNvSpPr>
                            <a:spLocks noChangeArrowheads="1"/>
                          </a:cNvSpPr>
                        </a:nvSpPr>
                        <a:spPr bwMode="auto">
                          <a:xfrm>
                            <a:off x="450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89" name="Rectangle 113"/>
                          <a:cNvSpPr>
                            <a:spLocks noChangeArrowheads="1"/>
                          </a:cNvSpPr>
                        </a:nvSpPr>
                        <a:spPr bwMode="auto">
                          <a:xfrm>
                            <a:off x="4538"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0" name="Rectangle 114"/>
                          <a:cNvSpPr>
                            <a:spLocks noChangeArrowheads="1"/>
                          </a:cNvSpPr>
                        </a:nvSpPr>
                        <a:spPr bwMode="auto">
                          <a:xfrm>
                            <a:off x="4568" y="358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1" name="Rectangle 115"/>
                          <a:cNvSpPr>
                            <a:spLocks noChangeArrowheads="1"/>
                          </a:cNvSpPr>
                        </a:nvSpPr>
                        <a:spPr bwMode="auto">
                          <a:xfrm>
                            <a:off x="459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2" name="Rectangle 116"/>
                          <a:cNvSpPr>
                            <a:spLocks noChangeArrowheads="1"/>
                          </a:cNvSpPr>
                        </a:nvSpPr>
                        <a:spPr bwMode="auto">
                          <a:xfrm>
                            <a:off x="462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3" name="Rectangle 117"/>
                          <a:cNvSpPr>
                            <a:spLocks noChangeArrowheads="1"/>
                          </a:cNvSpPr>
                        </a:nvSpPr>
                        <a:spPr bwMode="auto">
                          <a:xfrm>
                            <a:off x="4657" y="358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4" name="Rectangle 118"/>
                          <a:cNvSpPr>
                            <a:spLocks noChangeArrowheads="1"/>
                          </a:cNvSpPr>
                        </a:nvSpPr>
                        <a:spPr bwMode="auto">
                          <a:xfrm>
                            <a:off x="1437"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5" name="Rectangle 119"/>
                          <a:cNvSpPr>
                            <a:spLocks noChangeArrowheads="1"/>
                          </a:cNvSpPr>
                        </a:nvSpPr>
                        <a:spPr bwMode="auto">
                          <a:xfrm>
                            <a:off x="146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6" name="Rectangle 120"/>
                          <a:cNvSpPr>
                            <a:spLocks noChangeArrowheads="1"/>
                          </a:cNvSpPr>
                        </a:nvSpPr>
                        <a:spPr bwMode="auto">
                          <a:xfrm>
                            <a:off x="149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7" name="Rectangle 121"/>
                          <a:cNvSpPr>
                            <a:spLocks noChangeArrowheads="1"/>
                          </a:cNvSpPr>
                        </a:nvSpPr>
                        <a:spPr bwMode="auto">
                          <a:xfrm>
                            <a:off x="152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8" name="Rectangle 122"/>
                          <a:cNvSpPr>
                            <a:spLocks noChangeArrowheads="1"/>
                          </a:cNvSpPr>
                        </a:nvSpPr>
                        <a:spPr bwMode="auto">
                          <a:xfrm>
                            <a:off x="155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899" name="Rectangle 123"/>
                          <a:cNvSpPr>
                            <a:spLocks noChangeArrowheads="1"/>
                          </a:cNvSpPr>
                        </a:nvSpPr>
                        <a:spPr bwMode="auto">
                          <a:xfrm>
                            <a:off x="158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0" name="Rectangle 124"/>
                          <a:cNvSpPr>
                            <a:spLocks noChangeArrowheads="1"/>
                          </a:cNvSpPr>
                        </a:nvSpPr>
                        <a:spPr bwMode="auto">
                          <a:xfrm>
                            <a:off x="161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1" name="Rectangle 125"/>
                          <a:cNvSpPr>
                            <a:spLocks noChangeArrowheads="1"/>
                          </a:cNvSpPr>
                        </a:nvSpPr>
                        <a:spPr bwMode="auto">
                          <a:xfrm>
                            <a:off x="164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2" name="Rectangle 126"/>
                          <a:cNvSpPr>
                            <a:spLocks noChangeArrowheads="1"/>
                          </a:cNvSpPr>
                        </a:nvSpPr>
                        <a:spPr bwMode="auto">
                          <a:xfrm>
                            <a:off x="167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3" name="Rectangle 127"/>
                          <a:cNvSpPr>
                            <a:spLocks noChangeArrowheads="1"/>
                          </a:cNvSpPr>
                        </a:nvSpPr>
                        <a:spPr bwMode="auto">
                          <a:xfrm>
                            <a:off x="170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4" name="Rectangle 128"/>
                          <a:cNvSpPr>
                            <a:spLocks noChangeArrowheads="1"/>
                          </a:cNvSpPr>
                        </a:nvSpPr>
                        <a:spPr bwMode="auto">
                          <a:xfrm>
                            <a:off x="173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5" name="Rectangle 129"/>
                          <a:cNvSpPr>
                            <a:spLocks noChangeArrowheads="1"/>
                          </a:cNvSpPr>
                        </a:nvSpPr>
                        <a:spPr bwMode="auto">
                          <a:xfrm>
                            <a:off x="1765"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6" name="Rectangle 130"/>
                          <a:cNvSpPr>
                            <a:spLocks noChangeArrowheads="1"/>
                          </a:cNvSpPr>
                        </a:nvSpPr>
                        <a:spPr bwMode="auto">
                          <a:xfrm>
                            <a:off x="179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7" name="Rectangle 131"/>
                          <a:cNvSpPr>
                            <a:spLocks noChangeArrowheads="1"/>
                          </a:cNvSpPr>
                        </a:nvSpPr>
                        <a:spPr bwMode="auto">
                          <a:xfrm>
                            <a:off x="182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8" name="Rectangle 132"/>
                          <a:cNvSpPr>
                            <a:spLocks noChangeArrowheads="1"/>
                          </a:cNvSpPr>
                        </a:nvSpPr>
                        <a:spPr bwMode="auto">
                          <a:xfrm>
                            <a:off x="185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09" name="Rectangle 133"/>
                          <a:cNvSpPr>
                            <a:spLocks noChangeArrowheads="1"/>
                          </a:cNvSpPr>
                        </a:nvSpPr>
                        <a:spPr bwMode="auto">
                          <a:xfrm>
                            <a:off x="188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0" name="Rectangle 134"/>
                          <a:cNvSpPr>
                            <a:spLocks noChangeArrowheads="1"/>
                          </a:cNvSpPr>
                        </a:nvSpPr>
                        <a:spPr bwMode="auto">
                          <a:xfrm>
                            <a:off x="191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1" name="Rectangle 135"/>
                          <a:cNvSpPr>
                            <a:spLocks noChangeArrowheads="1"/>
                          </a:cNvSpPr>
                        </a:nvSpPr>
                        <a:spPr bwMode="auto">
                          <a:xfrm>
                            <a:off x="194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2" name="Rectangle 136"/>
                          <a:cNvSpPr>
                            <a:spLocks noChangeArrowheads="1"/>
                          </a:cNvSpPr>
                        </a:nvSpPr>
                        <a:spPr bwMode="auto">
                          <a:xfrm>
                            <a:off x="197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3" name="Rectangle 137"/>
                          <a:cNvSpPr>
                            <a:spLocks noChangeArrowheads="1"/>
                          </a:cNvSpPr>
                        </a:nvSpPr>
                        <a:spPr bwMode="auto">
                          <a:xfrm>
                            <a:off x="200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4" name="Rectangle 138"/>
                          <a:cNvSpPr>
                            <a:spLocks noChangeArrowheads="1"/>
                          </a:cNvSpPr>
                        </a:nvSpPr>
                        <a:spPr bwMode="auto">
                          <a:xfrm>
                            <a:off x="203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5" name="Rectangle 139"/>
                          <a:cNvSpPr>
                            <a:spLocks noChangeArrowheads="1"/>
                          </a:cNvSpPr>
                        </a:nvSpPr>
                        <a:spPr bwMode="auto">
                          <a:xfrm>
                            <a:off x="206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6" name="Rectangle 140"/>
                          <a:cNvSpPr>
                            <a:spLocks noChangeArrowheads="1"/>
                          </a:cNvSpPr>
                        </a:nvSpPr>
                        <a:spPr bwMode="auto">
                          <a:xfrm>
                            <a:off x="2093"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7" name="Rectangle 141"/>
                          <a:cNvSpPr>
                            <a:spLocks noChangeArrowheads="1"/>
                          </a:cNvSpPr>
                        </a:nvSpPr>
                        <a:spPr bwMode="auto">
                          <a:xfrm>
                            <a:off x="212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8" name="Rectangle 142"/>
                          <a:cNvSpPr>
                            <a:spLocks noChangeArrowheads="1"/>
                          </a:cNvSpPr>
                        </a:nvSpPr>
                        <a:spPr bwMode="auto">
                          <a:xfrm>
                            <a:off x="215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19" name="Rectangle 143"/>
                          <a:cNvSpPr>
                            <a:spLocks noChangeArrowheads="1"/>
                          </a:cNvSpPr>
                        </a:nvSpPr>
                        <a:spPr bwMode="auto">
                          <a:xfrm>
                            <a:off x="218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0" name="Rectangle 144"/>
                          <a:cNvSpPr>
                            <a:spLocks noChangeArrowheads="1"/>
                          </a:cNvSpPr>
                        </a:nvSpPr>
                        <a:spPr bwMode="auto">
                          <a:xfrm>
                            <a:off x="221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1" name="Rectangle 145"/>
                          <a:cNvSpPr>
                            <a:spLocks noChangeArrowheads="1"/>
                          </a:cNvSpPr>
                        </a:nvSpPr>
                        <a:spPr bwMode="auto">
                          <a:xfrm>
                            <a:off x="224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2" name="Rectangle 146"/>
                          <a:cNvSpPr>
                            <a:spLocks noChangeArrowheads="1"/>
                          </a:cNvSpPr>
                        </a:nvSpPr>
                        <a:spPr bwMode="auto">
                          <a:xfrm>
                            <a:off x="227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3" name="Rectangle 147"/>
                          <a:cNvSpPr>
                            <a:spLocks noChangeArrowheads="1"/>
                          </a:cNvSpPr>
                        </a:nvSpPr>
                        <a:spPr bwMode="auto">
                          <a:xfrm>
                            <a:off x="230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4" name="Rectangle 148"/>
                          <a:cNvSpPr>
                            <a:spLocks noChangeArrowheads="1"/>
                          </a:cNvSpPr>
                        </a:nvSpPr>
                        <a:spPr bwMode="auto">
                          <a:xfrm>
                            <a:off x="233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5" name="Rectangle 149"/>
                          <a:cNvSpPr>
                            <a:spLocks noChangeArrowheads="1"/>
                          </a:cNvSpPr>
                        </a:nvSpPr>
                        <a:spPr bwMode="auto">
                          <a:xfrm>
                            <a:off x="236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6" name="Rectangle 150"/>
                          <a:cNvSpPr>
                            <a:spLocks noChangeArrowheads="1"/>
                          </a:cNvSpPr>
                        </a:nvSpPr>
                        <a:spPr bwMode="auto">
                          <a:xfrm>
                            <a:off x="239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7" name="Rectangle 151"/>
                          <a:cNvSpPr>
                            <a:spLocks noChangeArrowheads="1"/>
                          </a:cNvSpPr>
                        </a:nvSpPr>
                        <a:spPr bwMode="auto">
                          <a:xfrm>
                            <a:off x="2421"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8" name="Rectangle 152"/>
                          <a:cNvSpPr>
                            <a:spLocks noChangeArrowheads="1"/>
                          </a:cNvSpPr>
                        </a:nvSpPr>
                        <a:spPr bwMode="auto">
                          <a:xfrm>
                            <a:off x="245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29" name="Rectangle 153"/>
                          <a:cNvSpPr>
                            <a:spLocks noChangeArrowheads="1"/>
                          </a:cNvSpPr>
                        </a:nvSpPr>
                        <a:spPr bwMode="auto">
                          <a:xfrm>
                            <a:off x="248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0" name="Rectangle 154"/>
                          <a:cNvSpPr>
                            <a:spLocks noChangeArrowheads="1"/>
                          </a:cNvSpPr>
                        </a:nvSpPr>
                        <a:spPr bwMode="auto">
                          <a:xfrm>
                            <a:off x="251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1" name="Rectangle 155"/>
                          <a:cNvSpPr>
                            <a:spLocks noChangeArrowheads="1"/>
                          </a:cNvSpPr>
                        </a:nvSpPr>
                        <a:spPr bwMode="auto">
                          <a:xfrm>
                            <a:off x="254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2" name="Rectangle 156"/>
                          <a:cNvSpPr>
                            <a:spLocks noChangeArrowheads="1"/>
                          </a:cNvSpPr>
                        </a:nvSpPr>
                        <a:spPr bwMode="auto">
                          <a:xfrm>
                            <a:off x="257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3" name="Rectangle 157"/>
                          <a:cNvSpPr>
                            <a:spLocks noChangeArrowheads="1"/>
                          </a:cNvSpPr>
                        </a:nvSpPr>
                        <a:spPr bwMode="auto">
                          <a:xfrm>
                            <a:off x="259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4" name="Rectangle 158"/>
                          <a:cNvSpPr>
                            <a:spLocks noChangeArrowheads="1"/>
                          </a:cNvSpPr>
                        </a:nvSpPr>
                        <a:spPr bwMode="auto">
                          <a:xfrm>
                            <a:off x="262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5" name="Rectangle 159"/>
                          <a:cNvSpPr>
                            <a:spLocks noChangeArrowheads="1"/>
                          </a:cNvSpPr>
                        </a:nvSpPr>
                        <a:spPr bwMode="auto">
                          <a:xfrm>
                            <a:off x="265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6" name="Rectangle 160"/>
                          <a:cNvSpPr>
                            <a:spLocks noChangeArrowheads="1"/>
                          </a:cNvSpPr>
                        </a:nvSpPr>
                        <a:spPr bwMode="auto">
                          <a:xfrm>
                            <a:off x="268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7" name="Rectangle 161"/>
                          <a:cNvSpPr>
                            <a:spLocks noChangeArrowheads="1"/>
                          </a:cNvSpPr>
                        </a:nvSpPr>
                        <a:spPr bwMode="auto">
                          <a:xfrm>
                            <a:off x="271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8" name="Rectangle 162"/>
                          <a:cNvSpPr>
                            <a:spLocks noChangeArrowheads="1"/>
                          </a:cNvSpPr>
                        </a:nvSpPr>
                        <a:spPr bwMode="auto">
                          <a:xfrm>
                            <a:off x="2749"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39" name="Rectangle 163"/>
                          <a:cNvSpPr>
                            <a:spLocks noChangeArrowheads="1"/>
                          </a:cNvSpPr>
                        </a:nvSpPr>
                        <a:spPr bwMode="auto">
                          <a:xfrm>
                            <a:off x="277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0" name="Rectangle 164"/>
                          <a:cNvSpPr>
                            <a:spLocks noChangeArrowheads="1"/>
                          </a:cNvSpPr>
                        </a:nvSpPr>
                        <a:spPr bwMode="auto">
                          <a:xfrm>
                            <a:off x="280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1" name="Rectangle 165"/>
                          <a:cNvSpPr>
                            <a:spLocks noChangeArrowheads="1"/>
                          </a:cNvSpPr>
                        </a:nvSpPr>
                        <a:spPr bwMode="auto">
                          <a:xfrm>
                            <a:off x="283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2" name="Rectangle 166"/>
                          <a:cNvSpPr>
                            <a:spLocks noChangeArrowheads="1"/>
                          </a:cNvSpPr>
                        </a:nvSpPr>
                        <a:spPr bwMode="auto">
                          <a:xfrm>
                            <a:off x="286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3" name="Rectangle 167"/>
                          <a:cNvSpPr>
                            <a:spLocks noChangeArrowheads="1"/>
                          </a:cNvSpPr>
                        </a:nvSpPr>
                        <a:spPr bwMode="auto">
                          <a:xfrm>
                            <a:off x="289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4" name="Rectangle 168"/>
                          <a:cNvSpPr>
                            <a:spLocks noChangeArrowheads="1"/>
                          </a:cNvSpPr>
                        </a:nvSpPr>
                        <a:spPr bwMode="auto">
                          <a:xfrm>
                            <a:off x="292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5" name="Rectangle 169"/>
                          <a:cNvSpPr>
                            <a:spLocks noChangeArrowheads="1"/>
                          </a:cNvSpPr>
                        </a:nvSpPr>
                        <a:spPr bwMode="auto">
                          <a:xfrm>
                            <a:off x="295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6" name="Rectangle 170"/>
                          <a:cNvSpPr>
                            <a:spLocks noChangeArrowheads="1"/>
                          </a:cNvSpPr>
                        </a:nvSpPr>
                        <a:spPr bwMode="auto">
                          <a:xfrm>
                            <a:off x="298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7" name="Rectangle 171"/>
                          <a:cNvSpPr>
                            <a:spLocks noChangeArrowheads="1"/>
                          </a:cNvSpPr>
                        </a:nvSpPr>
                        <a:spPr bwMode="auto">
                          <a:xfrm>
                            <a:off x="301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8" name="Rectangle 172"/>
                          <a:cNvSpPr>
                            <a:spLocks noChangeArrowheads="1"/>
                          </a:cNvSpPr>
                        </a:nvSpPr>
                        <a:spPr bwMode="auto">
                          <a:xfrm>
                            <a:off x="304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49" name="Rectangle 173"/>
                          <a:cNvSpPr>
                            <a:spLocks noChangeArrowheads="1"/>
                          </a:cNvSpPr>
                        </a:nvSpPr>
                        <a:spPr bwMode="auto">
                          <a:xfrm>
                            <a:off x="307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0" name="Rectangle 174"/>
                          <a:cNvSpPr>
                            <a:spLocks noChangeArrowheads="1"/>
                          </a:cNvSpPr>
                        </a:nvSpPr>
                        <a:spPr bwMode="auto">
                          <a:xfrm>
                            <a:off x="310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1" name="Rectangle 175"/>
                          <a:cNvSpPr>
                            <a:spLocks noChangeArrowheads="1"/>
                          </a:cNvSpPr>
                        </a:nvSpPr>
                        <a:spPr bwMode="auto">
                          <a:xfrm>
                            <a:off x="313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2" name="Rectangle 176"/>
                          <a:cNvSpPr>
                            <a:spLocks noChangeArrowheads="1"/>
                          </a:cNvSpPr>
                        </a:nvSpPr>
                        <a:spPr bwMode="auto">
                          <a:xfrm>
                            <a:off x="316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3" name="Rectangle 177"/>
                          <a:cNvSpPr>
                            <a:spLocks noChangeArrowheads="1"/>
                          </a:cNvSpPr>
                        </a:nvSpPr>
                        <a:spPr bwMode="auto">
                          <a:xfrm>
                            <a:off x="319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4" name="Rectangle 178"/>
                          <a:cNvSpPr>
                            <a:spLocks noChangeArrowheads="1"/>
                          </a:cNvSpPr>
                        </a:nvSpPr>
                        <a:spPr bwMode="auto">
                          <a:xfrm>
                            <a:off x="322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5" name="Rectangle 179"/>
                          <a:cNvSpPr>
                            <a:spLocks noChangeArrowheads="1"/>
                          </a:cNvSpPr>
                        </a:nvSpPr>
                        <a:spPr bwMode="auto">
                          <a:xfrm>
                            <a:off x="325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6" name="Rectangle 180"/>
                          <a:cNvSpPr>
                            <a:spLocks noChangeArrowheads="1"/>
                          </a:cNvSpPr>
                        </a:nvSpPr>
                        <a:spPr bwMode="auto">
                          <a:xfrm>
                            <a:off x="328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7" name="Rectangle 181"/>
                          <a:cNvSpPr>
                            <a:spLocks noChangeArrowheads="1"/>
                          </a:cNvSpPr>
                        </a:nvSpPr>
                        <a:spPr bwMode="auto">
                          <a:xfrm>
                            <a:off x="331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8" name="Rectangle 182"/>
                          <a:cNvSpPr>
                            <a:spLocks noChangeArrowheads="1"/>
                          </a:cNvSpPr>
                        </a:nvSpPr>
                        <a:spPr bwMode="auto">
                          <a:xfrm>
                            <a:off x="334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59" name="Rectangle 183"/>
                          <a:cNvSpPr>
                            <a:spLocks noChangeArrowheads="1"/>
                          </a:cNvSpPr>
                        </a:nvSpPr>
                        <a:spPr bwMode="auto">
                          <a:xfrm>
                            <a:off x="337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0" name="Rectangle 184"/>
                          <a:cNvSpPr>
                            <a:spLocks noChangeArrowheads="1"/>
                          </a:cNvSpPr>
                        </a:nvSpPr>
                        <a:spPr bwMode="auto">
                          <a:xfrm>
                            <a:off x="340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1" name="Rectangle 185"/>
                          <a:cNvSpPr>
                            <a:spLocks noChangeArrowheads="1"/>
                          </a:cNvSpPr>
                        </a:nvSpPr>
                        <a:spPr bwMode="auto">
                          <a:xfrm>
                            <a:off x="343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2" name="Rectangle 186"/>
                          <a:cNvSpPr>
                            <a:spLocks noChangeArrowheads="1"/>
                          </a:cNvSpPr>
                        </a:nvSpPr>
                        <a:spPr bwMode="auto">
                          <a:xfrm>
                            <a:off x="346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3" name="Rectangle 187"/>
                          <a:cNvSpPr>
                            <a:spLocks noChangeArrowheads="1"/>
                          </a:cNvSpPr>
                        </a:nvSpPr>
                        <a:spPr bwMode="auto">
                          <a:xfrm>
                            <a:off x="349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4" name="Rectangle 188"/>
                          <a:cNvSpPr>
                            <a:spLocks noChangeArrowheads="1"/>
                          </a:cNvSpPr>
                        </a:nvSpPr>
                        <a:spPr bwMode="auto">
                          <a:xfrm>
                            <a:off x="352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5" name="Rectangle 189"/>
                          <a:cNvSpPr>
                            <a:spLocks noChangeArrowheads="1"/>
                          </a:cNvSpPr>
                        </a:nvSpPr>
                        <a:spPr bwMode="auto">
                          <a:xfrm>
                            <a:off x="355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6" name="Rectangle 190"/>
                          <a:cNvSpPr>
                            <a:spLocks noChangeArrowheads="1"/>
                          </a:cNvSpPr>
                        </a:nvSpPr>
                        <a:spPr bwMode="auto">
                          <a:xfrm>
                            <a:off x="358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7" name="Rectangle 191"/>
                          <a:cNvSpPr>
                            <a:spLocks noChangeArrowheads="1"/>
                          </a:cNvSpPr>
                        </a:nvSpPr>
                        <a:spPr bwMode="auto">
                          <a:xfrm>
                            <a:off x="361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8" name="Rectangle 192"/>
                          <a:cNvSpPr>
                            <a:spLocks noChangeArrowheads="1"/>
                          </a:cNvSpPr>
                        </a:nvSpPr>
                        <a:spPr bwMode="auto">
                          <a:xfrm>
                            <a:off x="364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69" name="Rectangle 193"/>
                          <a:cNvSpPr>
                            <a:spLocks noChangeArrowheads="1"/>
                          </a:cNvSpPr>
                        </a:nvSpPr>
                        <a:spPr bwMode="auto">
                          <a:xfrm>
                            <a:off x="367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0" name="Rectangle 194"/>
                          <a:cNvSpPr>
                            <a:spLocks noChangeArrowheads="1"/>
                          </a:cNvSpPr>
                        </a:nvSpPr>
                        <a:spPr bwMode="auto">
                          <a:xfrm>
                            <a:off x="370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1" name="Rectangle 195"/>
                          <a:cNvSpPr>
                            <a:spLocks noChangeArrowheads="1"/>
                          </a:cNvSpPr>
                        </a:nvSpPr>
                        <a:spPr bwMode="auto">
                          <a:xfrm>
                            <a:off x="373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2" name="Rectangle 196"/>
                          <a:cNvSpPr>
                            <a:spLocks noChangeArrowheads="1"/>
                          </a:cNvSpPr>
                        </a:nvSpPr>
                        <a:spPr bwMode="auto">
                          <a:xfrm>
                            <a:off x="376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3" name="Rectangle 197"/>
                          <a:cNvSpPr>
                            <a:spLocks noChangeArrowheads="1"/>
                          </a:cNvSpPr>
                        </a:nvSpPr>
                        <a:spPr bwMode="auto">
                          <a:xfrm>
                            <a:off x="379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4" name="Rectangle 198"/>
                          <a:cNvSpPr>
                            <a:spLocks noChangeArrowheads="1"/>
                          </a:cNvSpPr>
                        </a:nvSpPr>
                        <a:spPr bwMode="auto">
                          <a:xfrm>
                            <a:off x="382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5" name="Rectangle 199"/>
                          <a:cNvSpPr>
                            <a:spLocks noChangeArrowheads="1"/>
                          </a:cNvSpPr>
                        </a:nvSpPr>
                        <a:spPr bwMode="auto">
                          <a:xfrm>
                            <a:off x="385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6" name="Rectangle 200"/>
                          <a:cNvSpPr>
                            <a:spLocks noChangeArrowheads="1"/>
                          </a:cNvSpPr>
                        </a:nvSpPr>
                        <a:spPr bwMode="auto">
                          <a:xfrm>
                            <a:off x="388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7" name="Rectangle 201"/>
                          <a:cNvSpPr>
                            <a:spLocks noChangeArrowheads="1"/>
                          </a:cNvSpPr>
                        </a:nvSpPr>
                        <a:spPr bwMode="auto">
                          <a:xfrm>
                            <a:off x="391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8" name="Rectangle 202"/>
                          <a:cNvSpPr>
                            <a:spLocks noChangeArrowheads="1"/>
                          </a:cNvSpPr>
                        </a:nvSpPr>
                        <a:spPr bwMode="auto">
                          <a:xfrm>
                            <a:off x="394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79" name="Rectangle 203"/>
                          <a:cNvSpPr>
                            <a:spLocks noChangeArrowheads="1"/>
                          </a:cNvSpPr>
                        </a:nvSpPr>
                        <a:spPr bwMode="auto">
                          <a:xfrm>
                            <a:off x="397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0" name="Rectangle 204"/>
                          <a:cNvSpPr>
                            <a:spLocks noChangeArrowheads="1"/>
                          </a:cNvSpPr>
                        </a:nvSpPr>
                        <a:spPr bwMode="auto">
                          <a:xfrm>
                            <a:off x="400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1" name="Rectangle 205"/>
                          <a:cNvSpPr>
                            <a:spLocks noChangeArrowheads="1"/>
                          </a:cNvSpPr>
                        </a:nvSpPr>
                        <a:spPr bwMode="auto">
                          <a:xfrm>
                            <a:off x="403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2" name="Rectangle 206"/>
                          <a:cNvSpPr>
                            <a:spLocks noChangeArrowheads="1"/>
                          </a:cNvSpPr>
                        </a:nvSpPr>
                        <a:spPr bwMode="auto">
                          <a:xfrm>
                            <a:off x="406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3" name="Rectangle 207"/>
                          <a:cNvSpPr>
                            <a:spLocks noChangeArrowheads="1"/>
                          </a:cNvSpPr>
                        </a:nvSpPr>
                        <a:spPr bwMode="auto">
                          <a:xfrm>
                            <a:off x="409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4" name="Rectangle 208"/>
                          <a:cNvSpPr>
                            <a:spLocks noChangeArrowheads="1"/>
                          </a:cNvSpPr>
                        </a:nvSpPr>
                        <a:spPr bwMode="auto">
                          <a:xfrm>
                            <a:off x="412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grpSp>
                      <a:nvGrpSpPr>
                        <a:cNvPr id="5" name="Group 410"/>
                        <a:cNvGrpSpPr>
                          <a:grpSpLocks/>
                        </a:cNvGrpSpPr>
                      </a:nvGrpSpPr>
                      <a:grpSpPr bwMode="auto">
                        <a:xfrm>
                          <a:off x="1437" y="2420"/>
                          <a:ext cx="3230" cy="586"/>
                          <a:chOff x="1437" y="2420"/>
                          <a:chExt cx="3230" cy="586"/>
                        </a:xfrm>
                      </a:grpSpPr>
                      <a:sp>
                        <a:nvSpPr>
                          <a:cNvPr id="459986" name="Rectangle 210"/>
                          <a:cNvSpPr>
                            <a:spLocks noChangeArrowheads="1"/>
                          </a:cNvSpPr>
                        </a:nvSpPr>
                        <a:spPr bwMode="auto">
                          <a:xfrm>
                            <a:off x="415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7" name="Rectangle 211"/>
                          <a:cNvSpPr>
                            <a:spLocks noChangeArrowheads="1"/>
                          </a:cNvSpPr>
                        </a:nvSpPr>
                        <a:spPr bwMode="auto">
                          <a:xfrm>
                            <a:off x="418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8" name="Rectangle 212"/>
                          <a:cNvSpPr>
                            <a:spLocks noChangeArrowheads="1"/>
                          </a:cNvSpPr>
                        </a:nvSpPr>
                        <a:spPr bwMode="auto">
                          <a:xfrm>
                            <a:off x="421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89" name="Rectangle 213"/>
                          <a:cNvSpPr>
                            <a:spLocks noChangeArrowheads="1"/>
                          </a:cNvSpPr>
                        </a:nvSpPr>
                        <a:spPr bwMode="auto">
                          <a:xfrm>
                            <a:off x="4240"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0" name="Rectangle 214"/>
                          <a:cNvSpPr>
                            <a:spLocks noChangeArrowheads="1"/>
                          </a:cNvSpPr>
                        </a:nvSpPr>
                        <a:spPr bwMode="auto">
                          <a:xfrm>
                            <a:off x="426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1" name="Rectangle 215"/>
                          <a:cNvSpPr>
                            <a:spLocks noChangeArrowheads="1"/>
                          </a:cNvSpPr>
                        </a:nvSpPr>
                        <a:spPr bwMode="auto">
                          <a:xfrm>
                            <a:off x="429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2" name="Rectangle 216"/>
                          <a:cNvSpPr>
                            <a:spLocks noChangeArrowheads="1"/>
                          </a:cNvSpPr>
                        </a:nvSpPr>
                        <a:spPr bwMode="auto">
                          <a:xfrm>
                            <a:off x="432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3" name="Rectangle 217"/>
                          <a:cNvSpPr>
                            <a:spLocks noChangeArrowheads="1"/>
                          </a:cNvSpPr>
                        </a:nvSpPr>
                        <a:spPr bwMode="auto">
                          <a:xfrm>
                            <a:off x="435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4" name="Rectangle 218"/>
                          <a:cNvSpPr>
                            <a:spLocks noChangeArrowheads="1"/>
                          </a:cNvSpPr>
                        </a:nvSpPr>
                        <a:spPr bwMode="auto">
                          <a:xfrm>
                            <a:off x="438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5" name="Rectangle 219"/>
                          <a:cNvSpPr>
                            <a:spLocks noChangeArrowheads="1"/>
                          </a:cNvSpPr>
                        </a:nvSpPr>
                        <a:spPr bwMode="auto">
                          <a:xfrm>
                            <a:off x="441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6" name="Rectangle 220"/>
                          <a:cNvSpPr>
                            <a:spLocks noChangeArrowheads="1"/>
                          </a:cNvSpPr>
                        </a:nvSpPr>
                        <a:spPr bwMode="auto">
                          <a:xfrm>
                            <a:off x="444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7" name="Rectangle 221"/>
                          <a:cNvSpPr>
                            <a:spLocks noChangeArrowheads="1"/>
                          </a:cNvSpPr>
                        </a:nvSpPr>
                        <a:spPr bwMode="auto">
                          <a:xfrm>
                            <a:off x="447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8" name="Rectangle 222"/>
                          <a:cNvSpPr>
                            <a:spLocks noChangeArrowheads="1"/>
                          </a:cNvSpPr>
                        </a:nvSpPr>
                        <a:spPr bwMode="auto">
                          <a:xfrm>
                            <a:off x="450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59999" name="Rectangle 223"/>
                          <a:cNvSpPr>
                            <a:spLocks noChangeArrowheads="1"/>
                          </a:cNvSpPr>
                        </a:nvSpPr>
                        <a:spPr bwMode="auto">
                          <a:xfrm>
                            <a:off x="453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0" name="Rectangle 224"/>
                          <a:cNvSpPr>
                            <a:spLocks noChangeArrowheads="1"/>
                          </a:cNvSpPr>
                        </a:nvSpPr>
                        <a:spPr bwMode="auto">
                          <a:xfrm>
                            <a:off x="4568"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1" name="Rectangle 225"/>
                          <a:cNvSpPr>
                            <a:spLocks noChangeArrowheads="1"/>
                          </a:cNvSpPr>
                        </a:nvSpPr>
                        <a:spPr bwMode="auto">
                          <a:xfrm>
                            <a:off x="459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2" name="Rectangle 226"/>
                          <a:cNvSpPr>
                            <a:spLocks noChangeArrowheads="1"/>
                          </a:cNvSpPr>
                        </a:nvSpPr>
                        <a:spPr bwMode="auto">
                          <a:xfrm>
                            <a:off x="462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3" name="Rectangle 227"/>
                          <a:cNvSpPr>
                            <a:spLocks noChangeArrowheads="1"/>
                          </a:cNvSpPr>
                        </a:nvSpPr>
                        <a:spPr bwMode="auto">
                          <a:xfrm>
                            <a:off x="465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4" name="Rectangle 228"/>
                          <a:cNvSpPr>
                            <a:spLocks noChangeArrowheads="1"/>
                          </a:cNvSpPr>
                        </a:nvSpPr>
                        <a:spPr bwMode="auto">
                          <a:xfrm>
                            <a:off x="1437"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5" name="Rectangle 229"/>
                          <a:cNvSpPr>
                            <a:spLocks noChangeArrowheads="1"/>
                          </a:cNvSpPr>
                        </a:nvSpPr>
                        <a:spPr bwMode="auto">
                          <a:xfrm>
                            <a:off x="146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6" name="Rectangle 230"/>
                          <a:cNvSpPr>
                            <a:spLocks noChangeArrowheads="1"/>
                          </a:cNvSpPr>
                        </a:nvSpPr>
                        <a:spPr bwMode="auto">
                          <a:xfrm>
                            <a:off x="149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7" name="Rectangle 231"/>
                          <a:cNvSpPr>
                            <a:spLocks noChangeArrowheads="1"/>
                          </a:cNvSpPr>
                        </a:nvSpPr>
                        <a:spPr bwMode="auto">
                          <a:xfrm>
                            <a:off x="152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8" name="Rectangle 232"/>
                          <a:cNvSpPr>
                            <a:spLocks noChangeArrowheads="1"/>
                          </a:cNvSpPr>
                        </a:nvSpPr>
                        <a:spPr bwMode="auto">
                          <a:xfrm>
                            <a:off x="155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09" name="Rectangle 233"/>
                          <a:cNvSpPr>
                            <a:spLocks noChangeArrowheads="1"/>
                          </a:cNvSpPr>
                        </a:nvSpPr>
                        <a:spPr bwMode="auto">
                          <a:xfrm>
                            <a:off x="158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0" name="Rectangle 234"/>
                          <a:cNvSpPr>
                            <a:spLocks noChangeArrowheads="1"/>
                          </a:cNvSpPr>
                        </a:nvSpPr>
                        <a:spPr bwMode="auto">
                          <a:xfrm>
                            <a:off x="161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1" name="Rectangle 235"/>
                          <a:cNvSpPr>
                            <a:spLocks noChangeArrowheads="1"/>
                          </a:cNvSpPr>
                        </a:nvSpPr>
                        <a:spPr bwMode="auto">
                          <a:xfrm>
                            <a:off x="164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2" name="Rectangle 236"/>
                          <a:cNvSpPr>
                            <a:spLocks noChangeArrowheads="1"/>
                          </a:cNvSpPr>
                        </a:nvSpPr>
                        <a:spPr bwMode="auto">
                          <a:xfrm>
                            <a:off x="167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3" name="Rectangle 237"/>
                          <a:cNvSpPr>
                            <a:spLocks noChangeArrowheads="1"/>
                          </a:cNvSpPr>
                        </a:nvSpPr>
                        <a:spPr bwMode="auto">
                          <a:xfrm>
                            <a:off x="170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4" name="Rectangle 238"/>
                          <a:cNvSpPr>
                            <a:spLocks noChangeArrowheads="1"/>
                          </a:cNvSpPr>
                        </a:nvSpPr>
                        <a:spPr bwMode="auto">
                          <a:xfrm>
                            <a:off x="173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5" name="Rectangle 239"/>
                          <a:cNvSpPr>
                            <a:spLocks noChangeArrowheads="1"/>
                          </a:cNvSpPr>
                        </a:nvSpPr>
                        <a:spPr bwMode="auto">
                          <a:xfrm>
                            <a:off x="1765"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6" name="Rectangle 240"/>
                          <a:cNvSpPr>
                            <a:spLocks noChangeArrowheads="1"/>
                          </a:cNvSpPr>
                        </a:nvSpPr>
                        <a:spPr bwMode="auto">
                          <a:xfrm>
                            <a:off x="179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7" name="Rectangle 241"/>
                          <a:cNvSpPr>
                            <a:spLocks noChangeArrowheads="1"/>
                          </a:cNvSpPr>
                        </a:nvSpPr>
                        <a:spPr bwMode="auto">
                          <a:xfrm>
                            <a:off x="182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8" name="Rectangle 242"/>
                          <a:cNvSpPr>
                            <a:spLocks noChangeArrowheads="1"/>
                          </a:cNvSpPr>
                        </a:nvSpPr>
                        <a:spPr bwMode="auto">
                          <a:xfrm>
                            <a:off x="185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19" name="Rectangle 243"/>
                          <a:cNvSpPr>
                            <a:spLocks noChangeArrowheads="1"/>
                          </a:cNvSpPr>
                        </a:nvSpPr>
                        <a:spPr bwMode="auto">
                          <a:xfrm>
                            <a:off x="188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0" name="Rectangle 244"/>
                          <a:cNvSpPr>
                            <a:spLocks noChangeArrowheads="1"/>
                          </a:cNvSpPr>
                        </a:nvSpPr>
                        <a:spPr bwMode="auto">
                          <a:xfrm>
                            <a:off x="191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1" name="Rectangle 245"/>
                          <a:cNvSpPr>
                            <a:spLocks noChangeArrowheads="1"/>
                          </a:cNvSpPr>
                        </a:nvSpPr>
                        <a:spPr bwMode="auto">
                          <a:xfrm>
                            <a:off x="194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2" name="Rectangle 246"/>
                          <a:cNvSpPr>
                            <a:spLocks noChangeArrowheads="1"/>
                          </a:cNvSpPr>
                        </a:nvSpPr>
                        <a:spPr bwMode="auto">
                          <a:xfrm>
                            <a:off x="197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3" name="Rectangle 247"/>
                          <a:cNvSpPr>
                            <a:spLocks noChangeArrowheads="1"/>
                          </a:cNvSpPr>
                        </a:nvSpPr>
                        <a:spPr bwMode="auto">
                          <a:xfrm>
                            <a:off x="200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4" name="Rectangle 248"/>
                          <a:cNvSpPr>
                            <a:spLocks noChangeArrowheads="1"/>
                          </a:cNvSpPr>
                        </a:nvSpPr>
                        <a:spPr bwMode="auto">
                          <a:xfrm>
                            <a:off x="203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5" name="Rectangle 249"/>
                          <a:cNvSpPr>
                            <a:spLocks noChangeArrowheads="1"/>
                          </a:cNvSpPr>
                        </a:nvSpPr>
                        <a:spPr bwMode="auto">
                          <a:xfrm>
                            <a:off x="206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6" name="Rectangle 250"/>
                          <a:cNvSpPr>
                            <a:spLocks noChangeArrowheads="1"/>
                          </a:cNvSpPr>
                        </a:nvSpPr>
                        <a:spPr bwMode="auto">
                          <a:xfrm>
                            <a:off x="2093"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7" name="Rectangle 251"/>
                          <a:cNvSpPr>
                            <a:spLocks noChangeArrowheads="1"/>
                          </a:cNvSpPr>
                        </a:nvSpPr>
                        <a:spPr bwMode="auto">
                          <a:xfrm>
                            <a:off x="212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8" name="Rectangle 252"/>
                          <a:cNvSpPr>
                            <a:spLocks noChangeArrowheads="1"/>
                          </a:cNvSpPr>
                        </a:nvSpPr>
                        <a:spPr bwMode="auto">
                          <a:xfrm>
                            <a:off x="215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29" name="Rectangle 253"/>
                          <a:cNvSpPr>
                            <a:spLocks noChangeArrowheads="1"/>
                          </a:cNvSpPr>
                        </a:nvSpPr>
                        <a:spPr bwMode="auto">
                          <a:xfrm>
                            <a:off x="218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0" name="Rectangle 254"/>
                          <a:cNvSpPr>
                            <a:spLocks noChangeArrowheads="1"/>
                          </a:cNvSpPr>
                        </a:nvSpPr>
                        <a:spPr bwMode="auto">
                          <a:xfrm>
                            <a:off x="221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1" name="Rectangle 255"/>
                          <a:cNvSpPr>
                            <a:spLocks noChangeArrowheads="1"/>
                          </a:cNvSpPr>
                        </a:nvSpPr>
                        <a:spPr bwMode="auto">
                          <a:xfrm>
                            <a:off x="224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2" name="Rectangle 256"/>
                          <a:cNvSpPr>
                            <a:spLocks noChangeArrowheads="1"/>
                          </a:cNvSpPr>
                        </a:nvSpPr>
                        <a:spPr bwMode="auto">
                          <a:xfrm>
                            <a:off x="227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3" name="Rectangle 257"/>
                          <a:cNvSpPr>
                            <a:spLocks noChangeArrowheads="1"/>
                          </a:cNvSpPr>
                        </a:nvSpPr>
                        <a:spPr bwMode="auto">
                          <a:xfrm>
                            <a:off x="230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4" name="Rectangle 258"/>
                          <a:cNvSpPr>
                            <a:spLocks noChangeArrowheads="1"/>
                          </a:cNvSpPr>
                        </a:nvSpPr>
                        <a:spPr bwMode="auto">
                          <a:xfrm>
                            <a:off x="233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5" name="Rectangle 259"/>
                          <a:cNvSpPr>
                            <a:spLocks noChangeArrowheads="1"/>
                          </a:cNvSpPr>
                        </a:nvSpPr>
                        <a:spPr bwMode="auto">
                          <a:xfrm>
                            <a:off x="236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6" name="Rectangle 260"/>
                          <a:cNvSpPr>
                            <a:spLocks noChangeArrowheads="1"/>
                          </a:cNvSpPr>
                        </a:nvSpPr>
                        <a:spPr bwMode="auto">
                          <a:xfrm>
                            <a:off x="239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7" name="Rectangle 261"/>
                          <a:cNvSpPr>
                            <a:spLocks noChangeArrowheads="1"/>
                          </a:cNvSpPr>
                        </a:nvSpPr>
                        <a:spPr bwMode="auto">
                          <a:xfrm>
                            <a:off x="2421"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8" name="Rectangle 262"/>
                          <a:cNvSpPr>
                            <a:spLocks noChangeArrowheads="1"/>
                          </a:cNvSpPr>
                        </a:nvSpPr>
                        <a:spPr bwMode="auto">
                          <a:xfrm>
                            <a:off x="245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39" name="Rectangle 263"/>
                          <a:cNvSpPr>
                            <a:spLocks noChangeArrowheads="1"/>
                          </a:cNvSpPr>
                        </a:nvSpPr>
                        <a:spPr bwMode="auto">
                          <a:xfrm>
                            <a:off x="248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0" name="Rectangle 264"/>
                          <a:cNvSpPr>
                            <a:spLocks noChangeArrowheads="1"/>
                          </a:cNvSpPr>
                        </a:nvSpPr>
                        <a:spPr bwMode="auto">
                          <a:xfrm>
                            <a:off x="251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1" name="Rectangle 265"/>
                          <a:cNvSpPr>
                            <a:spLocks noChangeArrowheads="1"/>
                          </a:cNvSpPr>
                        </a:nvSpPr>
                        <a:spPr bwMode="auto">
                          <a:xfrm>
                            <a:off x="254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2" name="Rectangle 266"/>
                          <a:cNvSpPr>
                            <a:spLocks noChangeArrowheads="1"/>
                          </a:cNvSpPr>
                        </a:nvSpPr>
                        <a:spPr bwMode="auto">
                          <a:xfrm>
                            <a:off x="257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3" name="Rectangle 267"/>
                          <a:cNvSpPr>
                            <a:spLocks noChangeArrowheads="1"/>
                          </a:cNvSpPr>
                        </a:nvSpPr>
                        <a:spPr bwMode="auto">
                          <a:xfrm>
                            <a:off x="259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4" name="Rectangle 268"/>
                          <a:cNvSpPr>
                            <a:spLocks noChangeArrowheads="1"/>
                          </a:cNvSpPr>
                        </a:nvSpPr>
                        <a:spPr bwMode="auto">
                          <a:xfrm>
                            <a:off x="262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5" name="Rectangle 269"/>
                          <a:cNvSpPr>
                            <a:spLocks noChangeArrowheads="1"/>
                          </a:cNvSpPr>
                        </a:nvSpPr>
                        <a:spPr bwMode="auto">
                          <a:xfrm>
                            <a:off x="265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6" name="Rectangle 270"/>
                          <a:cNvSpPr>
                            <a:spLocks noChangeArrowheads="1"/>
                          </a:cNvSpPr>
                        </a:nvSpPr>
                        <a:spPr bwMode="auto">
                          <a:xfrm>
                            <a:off x="268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7" name="Rectangle 271"/>
                          <a:cNvSpPr>
                            <a:spLocks noChangeArrowheads="1"/>
                          </a:cNvSpPr>
                        </a:nvSpPr>
                        <a:spPr bwMode="auto">
                          <a:xfrm>
                            <a:off x="271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8" name="Rectangle 272"/>
                          <a:cNvSpPr>
                            <a:spLocks noChangeArrowheads="1"/>
                          </a:cNvSpPr>
                        </a:nvSpPr>
                        <a:spPr bwMode="auto">
                          <a:xfrm>
                            <a:off x="2749"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49" name="Rectangle 273"/>
                          <a:cNvSpPr>
                            <a:spLocks noChangeArrowheads="1"/>
                          </a:cNvSpPr>
                        </a:nvSpPr>
                        <a:spPr bwMode="auto">
                          <a:xfrm>
                            <a:off x="277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0" name="Rectangle 274"/>
                          <a:cNvSpPr>
                            <a:spLocks noChangeArrowheads="1"/>
                          </a:cNvSpPr>
                        </a:nvSpPr>
                        <a:spPr bwMode="auto">
                          <a:xfrm>
                            <a:off x="280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1" name="Rectangle 275"/>
                          <a:cNvSpPr>
                            <a:spLocks noChangeArrowheads="1"/>
                          </a:cNvSpPr>
                        </a:nvSpPr>
                        <a:spPr bwMode="auto">
                          <a:xfrm>
                            <a:off x="283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2" name="Rectangle 276"/>
                          <a:cNvSpPr>
                            <a:spLocks noChangeArrowheads="1"/>
                          </a:cNvSpPr>
                        </a:nvSpPr>
                        <a:spPr bwMode="auto">
                          <a:xfrm>
                            <a:off x="286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3" name="Rectangle 277"/>
                          <a:cNvSpPr>
                            <a:spLocks noChangeArrowheads="1"/>
                          </a:cNvSpPr>
                        </a:nvSpPr>
                        <a:spPr bwMode="auto">
                          <a:xfrm>
                            <a:off x="289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4" name="Rectangle 278"/>
                          <a:cNvSpPr>
                            <a:spLocks noChangeArrowheads="1"/>
                          </a:cNvSpPr>
                        </a:nvSpPr>
                        <a:spPr bwMode="auto">
                          <a:xfrm>
                            <a:off x="292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5" name="Rectangle 279"/>
                          <a:cNvSpPr>
                            <a:spLocks noChangeArrowheads="1"/>
                          </a:cNvSpPr>
                        </a:nvSpPr>
                        <a:spPr bwMode="auto">
                          <a:xfrm>
                            <a:off x="295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6" name="Rectangle 280"/>
                          <a:cNvSpPr>
                            <a:spLocks noChangeArrowheads="1"/>
                          </a:cNvSpPr>
                        </a:nvSpPr>
                        <a:spPr bwMode="auto">
                          <a:xfrm>
                            <a:off x="298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7" name="Rectangle 281"/>
                          <a:cNvSpPr>
                            <a:spLocks noChangeArrowheads="1"/>
                          </a:cNvSpPr>
                        </a:nvSpPr>
                        <a:spPr bwMode="auto">
                          <a:xfrm>
                            <a:off x="301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8" name="Rectangle 282"/>
                          <a:cNvSpPr>
                            <a:spLocks noChangeArrowheads="1"/>
                          </a:cNvSpPr>
                        </a:nvSpPr>
                        <a:spPr bwMode="auto">
                          <a:xfrm>
                            <a:off x="304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59" name="Rectangle 283"/>
                          <a:cNvSpPr>
                            <a:spLocks noChangeArrowheads="1"/>
                          </a:cNvSpPr>
                        </a:nvSpPr>
                        <a:spPr bwMode="auto">
                          <a:xfrm>
                            <a:off x="307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0" name="Rectangle 284"/>
                          <a:cNvSpPr>
                            <a:spLocks noChangeArrowheads="1"/>
                          </a:cNvSpPr>
                        </a:nvSpPr>
                        <a:spPr bwMode="auto">
                          <a:xfrm>
                            <a:off x="310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1" name="Rectangle 285"/>
                          <a:cNvSpPr>
                            <a:spLocks noChangeArrowheads="1"/>
                          </a:cNvSpPr>
                        </a:nvSpPr>
                        <a:spPr bwMode="auto">
                          <a:xfrm>
                            <a:off x="313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2" name="Rectangle 286"/>
                          <a:cNvSpPr>
                            <a:spLocks noChangeArrowheads="1"/>
                          </a:cNvSpPr>
                        </a:nvSpPr>
                        <a:spPr bwMode="auto">
                          <a:xfrm>
                            <a:off x="316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3" name="Rectangle 287"/>
                          <a:cNvSpPr>
                            <a:spLocks noChangeArrowheads="1"/>
                          </a:cNvSpPr>
                        </a:nvSpPr>
                        <a:spPr bwMode="auto">
                          <a:xfrm>
                            <a:off x="319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4" name="Rectangle 288"/>
                          <a:cNvSpPr>
                            <a:spLocks noChangeArrowheads="1"/>
                          </a:cNvSpPr>
                        </a:nvSpPr>
                        <a:spPr bwMode="auto">
                          <a:xfrm>
                            <a:off x="3226"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5" name="Rectangle 289"/>
                          <a:cNvSpPr>
                            <a:spLocks noChangeArrowheads="1"/>
                          </a:cNvSpPr>
                        </a:nvSpPr>
                        <a:spPr bwMode="auto">
                          <a:xfrm>
                            <a:off x="325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6" name="Rectangle 290"/>
                          <a:cNvSpPr>
                            <a:spLocks noChangeArrowheads="1"/>
                          </a:cNvSpPr>
                        </a:nvSpPr>
                        <a:spPr bwMode="auto">
                          <a:xfrm>
                            <a:off x="328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7" name="Rectangle 291"/>
                          <a:cNvSpPr>
                            <a:spLocks noChangeArrowheads="1"/>
                          </a:cNvSpPr>
                        </a:nvSpPr>
                        <a:spPr bwMode="auto">
                          <a:xfrm>
                            <a:off x="331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8" name="Rectangle 292"/>
                          <a:cNvSpPr>
                            <a:spLocks noChangeArrowheads="1"/>
                          </a:cNvSpPr>
                        </a:nvSpPr>
                        <a:spPr bwMode="auto">
                          <a:xfrm>
                            <a:off x="334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69" name="Rectangle 293"/>
                          <a:cNvSpPr>
                            <a:spLocks noChangeArrowheads="1"/>
                          </a:cNvSpPr>
                        </a:nvSpPr>
                        <a:spPr bwMode="auto">
                          <a:xfrm>
                            <a:off x="337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0" name="Rectangle 294"/>
                          <a:cNvSpPr>
                            <a:spLocks noChangeArrowheads="1"/>
                          </a:cNvSpPr>
                        </a:nvSpPr>
                        <a:spPr bwMode="auto">
                          <a:xfrm>
                            <a:off x="3405"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1" name="Rectangle 295"/>
                          <a:cNvSpPr>
                            <a:spLocks noChangeArrowheads="1"/>
                          </a:cNvSpPr>
                        </a:nvSpPr>
                        <a:spPr bwMode="auto">
                          <a:xfrm>
                            <a:off x="343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2" name="Rectangle 296"/>
                          <a:cNvSpPr>
                            <a:spLocks noChangeArrowheads="1"/>
                          </a:cNvSpPr>
                        </a:nvSpPr>
                        <a:spPr bwMode="auto">
                          <a:xfrm>
                            <a:off x="346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3" name="Rectangle 297"/>
                          <a:cNvSpPr>
                            <a:spLocks noChangeArrowheads="1"/>
                          </a:cNvSpPr>
                        </a:nvSpPr>
                        <a:spPr bwMode="auto">
                          <a:xfrm>
                            <a:off x="349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4" name="Rectangle 298"/>
                          <a:cNvSpPr>
                            <a:spLocks noChangeArrowheads="1"/>
                          </a:cNvSpPr>
                        </a:nvSpPr>
                        <a:spPr bwMode="auto">
                          <a:xfrm>
                            <a:off x="352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5" name="Rectangle 299"/>
                          <a:cNvSpPr>
                            <a:spLocks noChangeArrowheads="1"/>
                          </a:cNvSpPr>
                        </a:nvSpPr>
                        <a:spPr bwMode="auto">
                          <a:xfrm>
                            <a:off x="3554"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6" name="Rectangle 300"/>
                          <a:cNvSpPr>
                            <a:spLocks noChangeArrowheads="1"/>
                          </a:cNvSpPr>
                        </a:nvSpPr>
                        <a:spPr bwMode="auto">
                          <a:xfrm>
                            <a:off x="358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7" name="Rectangle 301"/>
                          <a:cNvSpPr>
                            <a:spLocks noChangeArrowheads="1"/>
                          </a:cNvSpPr>
                        </a:nvSpPr>
                        <a:spPr bwMode="auto">
                          <a:xfrm>
                            <a:off x="361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8" name="Rectangle 302"/>
                          <a:cNvSpPr>
                            <a:spLocks noChangeArrowheads="1"/>
                          </a:cNvSpPr>
                        </a:nvSpPr>
                        <a:spPr bwMode="auto">
                          <a:xfrm>
                            <a:off x="364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79" name="Rectangle 303"/>
                          <a:cNvSpPr>
                            <a:spLocks noChangeArrowheads="1"/>
                          </a:cNvSpPr>
                        </a:nvSpPr>
                        <a:spPr bwMode="auto">
                          <a:xfrm>
                            <a:off x="367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0" name="Rectangle 304"/>
                          <a:cNvSpPr>
                            <a:spLocks noChangeArrowheads="1"/>
                          </a:cNvSpPr>
                        </a:nvSpPr>
                        <a:spPr bwMode="auto">
                          <a:xfrm>
                            <a:off x="370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1" name="Rectangle 305"/>
                          <a:cNvSpPr>
                            <a:spLocks noChangeArrowheads="1"/>
                          </a:cNvSpPr>
                        </a:nvSpPr>
                        <a:spPr bwMode="auto">
                          <a:xfrm>
                            <a:off x="3733"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2" name="Rectangle 306"/>
                          <a:cNvSpPr>
                            <a:spLocks noChangeArrowheads="1"/>
                          </a:cNvSpPr>
                        </a:nvSpPr>
                        <a:spPr bwMode="auto">
                          <a:xfrm>
                            <a:off x="376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3" name="Rectangle 307"/>
                          <a:cNvSpPr>
                            <a:spLocks noChangeArrowheads="1"/>
                          </a:cNvSpPr>
                        </a:nvSpPr>
                        <a:spPr bwMode="auto">
                          <a:xfrm>
                            <a:off x="379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4" name="Rectangle 308"/>
                          <a:cNvSpPr>
                            <a:spLocks noChangeArrowheads="1"/>
                          </a:cNvSpPr>
                        </a:nvSpPr>
                        <a:spPr bwMode="auto">
                          <a:xfrm>
                            <a:off x="382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5" name="Rectangle 309"/>
                          <a:cNvSpPr>
                            <a:spLocks noChangeArrowheads="1"/>
                          </a:cNvSpPr>
                        </a:nvSpPr>
                        <a:spPr bwMode="auto">
                          <a:xfrm>
                            <a:off x="385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6" name="Rectangle 310"/>
                          <a:cNvSpPr>
                            <a:spLocks noChangeArrowheads="1"/>
                          </a:cNvSpPr>
                        </a:nvSpPr>
                        <a:spPr bwMode="auto">
                          <a:xfrm>
                            <a:off x="3882"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7" name="Rectangle 311"/>
                          <a:cNvSpPr>
                            <a:spLocks noChangeArrowheads="1"/>
                          </a:cNvSpPr>
                        </a:nvSpPr>
                        <a:spPr bwMode="auto">
                          <a:xfrm>
                            <a:off x="391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8" name="Rectangle 312"/>
                          <a:cNvSpPr>
                            <a:spLocks noChangeArrowheads="1"/>
                          </a:cNvSpPr>
                        </a:nvSpPr>
                        <a:spPr bwMode="auto">
                          <a:xfrm>
                            <a:off x="394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89" name="Rectangle 313"/>
                          <a:cNvSpPr>
                            <a:spLocks noChangeArrowheads="1"/>
                          </a:cNvSpPr>
                        </a:nvSpPr>
                        <a:spPr bwMode="auto">
                          <a:xfrm>
                            <a:off x="397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0" name="Rectangle 314"/>
                          <a:cNvSpPr>
                            <a:spLocks noChangeArrowheads="1"/>
                          </a:cNvSpPr>
                        </a:nvSpPr>
                        <a:spPr bwMode="auto">
                          <a:xfrm>
                            <a:off x="400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1" name="Rectangle 315"/>
                          <a:cNvSpPr>
                            <a:spLocks noChangeArrowheads="1"/>
                          </a:cNvSpPr>
                        </a:nvSpPr>
                        <a:spPr bwMode="auto">
                          <a:xfrm>
                            <a:off x="403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2" name="Rectangle 316"/>
                          <a:cNvSpPr>
                            <a:spLocks noChangeArrowheads="1"/>
                          </a:cNvSpPr>
                        </a:nvSpPr>
                        <a:spPr bwMode="auto">
                          <a:xfrm>
                            <a:off x="4061"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3" name="Rectangle 317"/>
                          <a:cNvSpPr>
                            <a:spLocks noChangeArrowheads="1"/>
                          </a:cNvSpPr>
                        </a:nvSpPr>
                        <a:spPr bwMode="auto">
                          <a:xfrm>
                            <a:off x="409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4" name="Rectangle 318"/>
                          <a:cNvSpPr>
                            <a:spLocks noChangeArrowheads="1"/>
                          </a:cNvSpPr>
                        </a:nvSpPr>
                        <a:spPr bwMode="auto">
                          <a:xfrm>
                            <a:off x="412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5" name="Rectangle 319"/>
                          <a:cNvSpPr>
                            <a:spLocks noChangeArrowheads="1"/>
                          </a:cNvSpPr>
                        </a:nvSpPr>
                        <a:spPr bwMode="auto">
                          <a:xfrm>
                            <a:off x="415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6" name="Rectangle 320"/>
                          <a:cNvSpPr>
                            <a:spLocks noChangeArrowheads="1"/>
                          </a:cNvSpPr>
                        </a:nvSpPr>
                        <a:spPr bwMode="auto">
                          <a:xfrm>
                            <a:off x="418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7" name="Rectangle 321"/>
                          <a:cNvSpPr>
                            <a:spLocks noChangeArrowheads="1"/>
                          </a:cNvSpPr>
                        </a:nvSpPr>
                        <a:spPr bwMode="auto">
                          <a:xfrm>
                            <a:off x="4210"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8" name="Rectangle 322"/>
                          <a:cNvSpPr>
                            <a:spLocks noChangeArrowheads="1"/>
                          </a:cNvSpPr>
                        </a:nvSpPr>
                        <a:spPr bwMode="auto">
                          <a:xfrm>
                            <a:off x="4240"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099" name="Rectangle 323"/>
                          <a:cNvSpPr>
                            <a:spLocks noChangeArrowheads="1"/>
                          </a:cNvSpPr>
                        </a:nvSpPr>
                        <a:spPr bwMode="auto">
                          <a:xfrm>
                            <a:off x="426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0" name="Rectangle 324"/>
                          <a:cNvSpPr>
                            <a:spLocks noChangeArrowheads="1"/>
                          </a:cNvSpPr>
                        </a:nvSpPr>
                        <a:spPr bwMode="auto">
                          <a:xfrm>
                            <a:off x="429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1" name="Rectangle 325"/>
                          <a:cNvSpPr>
                            <a:spLocks noChangeArrowheads="1"/>
                          </a:cNvSpPr>
                        </a:nvSpPr>
                        <a:spPr bwMode="auto">
                          <a:xfrm>
                            <a:off x="432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2" name="Rectangle 326"/>
                          <a:cNvSpPr>
                            <a:spLocks noChangeArrowheads="1"/>
                          </a:cNvSpPr>
                        </a:nvSpPr>
                        <a:spPr bwMode="auto">
                          <a:xfrm>
                            <a:off x="435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3" name="Rectangle 327"/>
                          <a:cNvSpPr>
                            <a:spLocks noChangeArrowheads="1"/>
                          </a:cNvSpPr>
                        </a:nvSpPr>
                        <a:spPr bwMode="auto">
                          <a:xfrm>
                            <a:off x="4389"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4" name="Rectangle 328"/>
                          <a:cNvSpPr>
                            <a:spLocks noChangeArrowheads="1"/>
                          </a:cNvSpPr>
                        </a:nvSpPr>
                        <a:spPr bwMode="auto">
                          <a:xfrm>
                            <a:off x="441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5" name="Rectangle 329"/>
                          <a:cNvSpPr>
                            <a:spLocks noChangeArrowheads="1"/>
                          </a:cNvSpPr>
                        </a:nvSpPr>
                        <a:spPr bwMode="auto">
                          <a:xfrm>
                            <a:off x="444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6" name="Rectangle 330"/>
                          <a:cNvSpPr>
                            <a:spLocks noChangeArrowheads="1"/>
                          </a:cNvSpPr>
                        </a:nvSpPr>
                        <a:spPr bwMode="auto">
                          <a:xfrm>
                            <a:off x="447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7" name="Rectangle 331"/>
                          <a:cNvSpPr>
                            <a:spLocks noChangeArrowheads="1"/>
                          </a:cNvSpPr>
                        </a:nvSpPr>
                        <a:spPr bwMode="auto">
                          <a:xfrm>
                            <a:off x="450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8" name="Rectangle 332"/>
                          <a:cNvSpPr>
                            <a:spLocks noChangeArrowheads="1"/>
                          </a:cNvSpPr>
                        </a:nvSpPr>
                        <a:spPr bwMode="auto">
                          <a:xfrm>
                            <a:off x="4538"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09" name="Rectangle 333"/>
                          <a:cNvSpPr>
                            <a:spLocks noChangeArrowheads="1"/>
                          </a:cNvSpPr>
                        </a:nvSpPr>
                        <a:spPr bwMode="auto">
                          <a:xfrm>
                            <a:off x="4568" y="2711"/>
                            <a:ext cx="9"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0" name="Rectangle 334"/>
                          <a:cNvSpPr>
                            <a:spLocks noChangeArrowheads="1"/>
                          </a:cNvSpPr>
                        </a:nvSpPr>
                        <a:spPr bwMode="auto">
                          <a:xfrm>
                            <a:off x="459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1" name="Rectangle 335"/>
                          <a:cNvSpPr>
                            <a:spLocks noChangeArrowheads="1"/>
                          </a:cNvSpPr>
                        </a:nvSpPr>
                        <a:spPr bwMode="auto">
                          <a:xfrm>
                            <a:off x="462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2" name="Rectangle 336"/>
                          <a:cNvSpPr>
                            <a:spLocks noChangeArrowheads="1"/>
                          </a:cNvSpPr>
                        </a:nvSpPr>
                        <a:spPr bwMode="auto">
                          <a:xfrm>
                            <a:off x="4657" y="2711"/>
                            <a:ext cx="10" cy="4"/>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3" name="Rectangle 337"/>
                          <a:cNvSpPr>
                            <a:spLocks noChangeArrowheads="1"/>
                          </a:cNvSpPr>
                        </a:nvSpPr>
                        <a:spPr bwMode="auto">
                          <a:xfrm>
                            <a:off x="1437"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4" name="Rectangle 338"/>
                          <a:cNvSpPr>
                            <a:spLocks noChangeArrowheads="1"/>
                          </a:cNvSpPr>
                        </a:nvSpPr>
                        <a:spPr bwMode="auto">
                          <a:xfrm>
                            <a:off x="146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5" name="Rectangle 339"/>
                          <a:cNvSpPr>
                            <a:spLocks noChangeArrowheads="1"/>
                          </a:cNvSpPr>
                        </a:nvSpPr>
                        <a:spPr bwMode="auto">
                          <a:xfrm>
                            <a:off x="149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6" name="Rectangle 340"/>
                          <a:cNvSpPr>
                            <a:spLocks noChangeArrowheads="1"/>
                          </a:cNvSpPr>
                        </a:nvSpPr>
                        <a:spPr bwMode="auto">
                          <a:xfrm>
                            <a:off x="152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7" name="Rectangle 341"/>
                          <a:cNvSpPr>
                            <a:spLocks noChangeArrowheads="1"/>
                          </a:cNvSpPr>
                        </a:nvSpPr>
                        <a:spPr bwMode="auto">
                          <a:xfrm>
                            <a:off x="155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8" name="Rectangle 342"/>
                          <a:cNvSpPr>
                            <a:spLocks noChangeArrowheads="1"/>
                          </a:cNvSpPr>
                        </a:nvSpPr>
                        <a:spPr bwMode="auto">
                          <a:xfrm>
                            <a:off x="158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19" name="Rectangle 343"/>
                          <a:cNvSpPr>
                            <a:spLocks noChangeArrowheads="1"/>
                          </a:cNvSpPr>
                        </a:nvSpPr>
                        <a:spPr bwMode="auto">
                          <a:xfrm>
                            <a:off x="161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0" name="Rectangle 344"/>
                          <a:cNvSpPr>
                            <a:spLocks noChangeArrowheads="1"/>
                          </a:cNvSpPr>
                        </a:nvSpPr>
                        <a:spPr bwMode="auto">
                          <a:xfrm>
                            <a:off x="164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1" name="Rectangle 345"/>
                          <a:cNvSpPr>
                            <a:spLocks noChangeArrowheads="1"/>
                          </a:cNvSpPr>
                        </a:nvSpPr>
                        <a:spPr bwMode="auto">
                          <a:xfrm>
                            <a:off x="167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2" name="Rectangle 346"/>
                          <a:cNvSpPr>
                            <a:spLocks noChangeArrowheads="1"/>
                          </a:cNvSpPr>
                        </a:nvSpPr>
                        <a:spPr bwMode="auto">
                          <a:xfrm>
                            <a:off x="170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3" name="Rectangle 347"/>
                          <a:cNvSpPr>
                            <a:spLocks noChangeArrowheads="1"/>
                          </a:cNvSpPr>
                        </a:nvSpPr>
                        <a:spPr bwMode="auto">
                          <a:xfrm>
                            <a:off x="173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4" name="Rectangle 348"/>
                          <a:cNvSpPr>
                            <a:spLocks noChangeArrowheads="1"/>
                          </a:cNvSpPr>
                        </a:nvSpPr>
                        <a:spPr bwMode="auto">
                          <a:xfrm>
                            <a:off x="1765"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5" name="Rectangle 349"/>
                          <a:cNvSpPr>
                            <a:spLocks noChangeArrowheads="1"/>
                          </a:cNvSpPr>
                        </a:nvSpPr>
                        <a:spPr bwMode="auto">
                          <a:xfrm>
                            <a:off x="179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6" name="Rectangle 350"/>
                          <a:cNvSpPr>
                            <a:spLocks noChangeArrowheads="1"/>
                          </a:cNvSpPr>
                        </a:nvSpPr>
                        <a:spPr bwMode="auto">
                          <a:xfrm>
                            <a:off x="182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7" name="Rectangle 351"/>
                          <a:cNvSpPr>
                            <a:spLocks noChangeArrowheads="1"/>
                          </a:cNvSpPr>
                        </a:nvSpPr>
                        <a:spPr bwMode="auto">
                          <a:xfrm>
                            <a:off x="185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8" name="Rectangle 352"/>
                          <a:cNvSpPr>
                            <a:spLocks noChangeArrowheads="1"/>
                          </a:cNvSpPr>
                        </a:nvSpPr>
                        <a:spPr bwMode="auto">
                          <a:xfrm>
                            <a:off x="188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29" name="Rectangle 353"/>
                          <a:cNvSpPr>
                            <a:spLocks noChangeArrowheads="1"/>
                          </a:cNvSpPr>
                        </a:nvSpPr>
                        <a:spPr bwMode="auto">
                          <a:xfrm>
                            <a:off x="191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0" name="Rectangle 354"/>
                          <a:cNvSpPr>
                            <a:spLocks noChangeArrowheads="1"/>
                          </a:cNvSpPr>
                        </a:nvSpPr>
                        <a:spPr bwMode="auto">
                          <a:xfrm>
                            <a:off x="194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1" name="Rectangle 355"/>
                          <a:cNvSpPr>
                            <a:spLocks noChangeArrowheads="1"/>
                          </a:cNvSpPr>
                        </a:nvSpPr>
                        <a:spPr bwMode="auto">
                          <a:xfrm>
                            <a:off x="197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2" name="Rectangle 356"/>
                          <a:cNvSpPr>
                            <a:spLocks noChangeArrowheads="1"/>
                          </a:cNvSpPr>
                        </a:nvSpPr>
                        <a:spPr bwMode="auto">
                          <a:xfrm>
                            <a:off x="200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3" name="Rectangle 357"/>
                          <a:cNvSpPr>
                            <a:spLocks noChangeArrowheads="1"/>
                          </a:cNvSpPr>
                        </a:nvSpPr>
                        <a:spPr bwMode="auto">
                          <a:xfrm>
                            <a:off x="203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4" name="Rectangle 358"/>
                          <a:cNvSpPr>
                            <a:spLocks noChangeArrowheads="1"/>
                          </a:cNvSpPr>
                        </a:nvSpPr>
                        <a:spPr bwMode="auto">
                          <a:xfrm>
                            <a:off x="206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5" name="Rectangle 359"/>
                          <a:cNvSpPr>
                            <a:spLocks noChangeArrowheads="1"/>
                          </a:cNvSpPr>
                        </a:nvSpPr>
                        <a:spPr bwMode="auto">
                          <a:xfrm>
                            <a:off x="2093"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6" name="Rectangle 360"/>
                          <a:cNvSpPr>
                            <a:spLocks noChangeArrowheads="1"/>
                          </a:cNvSpPr>
                        </a:nvSpPr>
                        <a:spPr bwMode="auto">
                          <a:xfrm>
                            <a:off x="212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7" name="Rectangle 361"/>
                          <a:cNvSpPr>
                            <a:spLocks noChangeArrowheads="1"/>
                          </a:cNvSpPr>
                        </a:nvSpPr>
                        <a:spPr bwMode="auto">
                          <a:xfrm>
                            <a:off x="215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8" name="Rectangle 362"/>
                          <a:cNvSpPr>
                            <a:spLocks noChangeArrowheads="1"/>
                          </a:cNvSpPr>
                        </a:nvSpPr>
                        <a:spPr bwMode="auto">
                          <a:xfrm>
                            <a:off x="218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39" name="Rectangle 363"/>
                          <a:cNvSpPr>
                            <a:spLocks noChangeArrowheads="1"/>
                          </a:cNvSpPr>
                        </a:nvSpPr>
                        <a:spPr bwMode="auto">
                          <a:xfrm>
                            <a:off x="221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0" name="Rectangle 364"/>
                          <a:cNvSpPr>
                            <a:spLocks noChangeArrowheads="1"/>
                          </a:cNvSpPr>
                        </a:nvSpPr>
                        <a:spPr bwMode="auto">
                          <a:xfrm>
                            <a:off x="224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1" name="Rectangle 365"/>
                          <a:cNvSpPr>
                            <a:spLocks noChangeArrowheads="1"/>
                          </a:cNvSpPr>
                        </a:nvSpPr>
                        <a:spPr bwMode="auto">
                          <a:xfrm>
                            <a:off x="227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2" name="Rectangle 366"/>
                          <a:cNvSpPr>
                            <a:spLocks noChangeArrowheads="1"/>
                          </a:cNvSpPr>
                        </a:nvSpPr>
                        <a:spPr bwMode="auto">
                          <a:xfrm>
                            <a:off x="230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3" name="Rectangle 367"/>
                          <a:cNvSpPr>
                            <a:spLocks noChangeArrowheads="1"/>
                          </a:cNvSpPr>
                        </a:nvSpPr>
                        <a:spPr bwMode="auto">
                          <a:xfrm>
                            <a:off x="233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4" name="Rectangle 368"/>
                          <a:cNvSpPr>
                            <a:spLocks noChangeArrowheads="1"/>
                          </a:cNvSpPr>
                        </a:nvSpPr>
                        <a:spPr bwMode="auto">
                          <a:xfrm>
                            <a:off x="236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5" name="Rectangle 369"/>
                          <a:cNvSpPr>
                            <a:spLocks noChangeArrowheads="1"/>
                          </a:cNvSpPr>
                        </a:nvSpPr>
                        <a:spPr bwMode="auto">
                          <a:xfrm>
                            <a:off x="239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6" name="Rectangle 370"/>
                          <a:cNvSpPr>
                            <a:spLocks noChangeArrowheads="1"/>
                          </a:cNvSpPr>
                        </a:nvSpPr>
                        <a:spPr bwMode="auto">
                          <a:xfrm>
                            <a:off x="2421"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7" name="Rectangle 371"/>
                          <a:cNvSpPr>
                            <a:spLocks noChangeArrowheads="1"/>
                          </a:cNvSpPr>
                        </a:nvSpPr>
                        <a:spPr bwMode="auto">
                          <a:xfrm>
                            <a:off x="245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8" name="Rectangle 372"/>
                          <a:cNvSpPr>
                            <a:spLocks noChangeArrowheads="1"/>
                          </a:cNvSpPr>
                        </a:nvSpPr>
                        <a:spPr bwMode="auto">
                          <a:xfrm>
                            <a:off x="248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49" name="Rectangle 373"/>
                          <a:cNvSpPr>
                            <a:spLocks noChangeArrowheads="1"/>
                          </a:cNvSpPr>
                        </a:nvSpPr>
                        <a:spPr bwMode="auto">
                          <a:xfrm>
                            <a:off x="251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0" name="Rectangle 374"/>
                          <a:cNvSpPr>
                            <a:spLocks noChangeArrowheads="1"/>
                          </a:cNvSpPr>
                        </a:nvSpPr>
                        <a:spPr bwMode="auto">
                          <a:xfrm>
                            <a:off x="254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1" name="Rectangle 375"/>
                          <a:cNvSpPr>
                            <a:spLocks noChangeArrowheads="1"/>
                          </a:cNvSpPr>
                        </a:nvSpPr>
                        <a:spPr bwMode="auto">
                          <a:xfrm>
                            <a:off x="257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2" name="Rectangle 376"/>
                          <a:cNvSpPr>
                            <a:spLocks noChangeArrowheads="1"/>
                          </a:cNvSpPr>
                        </a:nvSpPr>
                        <a:spPr bwMode="auto">
                          <a:xfrm>
                            <a:off x="259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3" name="Rectangle 377"/>
                          <a:cNvSpPr>
                            <a:spLocks noChangeArrowheads="1"/>
                          </a:cNvSpPr>
                        </a:nvSpPr>
                        <a:spPr bwMode="auto">
                          <a:xfrm>
                            <a:off x="262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4" name="Rectangle 378"/>
                          <a:cNvSpPr>
                            <a:spLocks noChangeArrowheads="1"/>
                          </a:cNvSpPr>
                        </a:nvSpPr>
                        <a:spPr bwMode="auto">
                          <a:xfrm>
                            <a:off x="265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5" name="Rectangle 379"/>
                          <a:cNvSpPr>
                            <a:spLocks noChangeArrowheads="1"/>
                          </a:cNvSpPr>
                        </a:nvSpPr>
                        <a:spPr bwMode="auto">
                          <a:xfrm>
                            <a:off x="268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6" name="Rectangle 380"/>
                          <a:cNvSpPr>
                            <a:spLocks noChangeArrowheads="1"/>
                          </a:cNvSpPr>
                        </a:nvSpPr>
                        <a:spPr bwMode="auto">
                          <a:xfrm>
                            <a:off x="271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7" name="Rectangle 381"/>
                          <a:cNvSpPr>
                            <a:spLocks noChangeArrowheads="1"/>
                          </a:cNvSpPr>
                        </a:nvSpPr>
                        <a:spPr bwMode="auto">
                          <a:xfrm>
                            <a:off x="2749"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8" name="Rectangle 382"/>
                          <a:cNvSpPr>
                            <a:spLocks noChangeArrowheads="1"/>
                          </a:cNvSpPr>
                        </a:nvSpPr>
                        <a:spPr bwMode="auto">
                          <a:xfrm>
                            <a:off x="277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59" name="Rectangle 383"/>
                          <a:cNvSpPr>
                            <a:spLocks noChangeArrowheads="1"/>
                          </a:cNvSpPr>
                        </a:nvSpPr>
                        <a:spPr bwMode="auto">
                          <a:xfrm>
                            <a:off x="280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0" name="Rectangle 384"/>
                          <a:cNvSpPr>
                            <a:spLocks noChangeArrowheads="1"/>
                          </a:cNvSpPr>
                        </a:nvSpPr>
                        <a:spPr bwMode="auto">
                          <a:xfrm>
                            <a:off x="283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1" name="Rectangle 385"/>
                          <a:cNvSpPr>
                            <a:spLocks noChangeArrowheads="1"/>
                          </a:cNvSpPr>
                        </a:nvSpPr>
                        <a:spPr bwMode="auto">
                          <a:xfrm>
                            <a:off x="286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2" name="Rectangle 386"/>
                          <a:cNvSpPr>
                            <a:spLocks noChangeArrowheads="1"/>
                          </a:cNvSpPr>
                        </a:nvSpPr>
                        <a:spPr bwMode="auto">
                          <a:xfrm>
                            <a:off x="289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3" name="Rectangle 387"/>
                          <a:cNvSpPr>
                            <a:spLocks noChangeArrowheads="1"/>
                          </a:cNvSpPr>
                        </a:nvSpPr>
                        <a:spPr bwMode="auto">
                          <a:xfrm>
                            <a:off x="292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4" name="Rectangle 388"/>
                          <a:cNvSpPr>
                            <a:spLocks noChangeArrowheads="1"/>
                          </a:cNvSpPr>
                        </a:nvSpPr>
                        <a:spPr bwMode="auto">
                          <a:xfrm>
                            <a:off x="295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5" name="Rectangle 389"/>
                          <a:cNvSpPr>
                            <a:spLocks noChangeArrowheads="1"/>
                          </a:cNvSpPr>
                        </a:nvSpPr>
                        <a:spPr bwMode="auto">
                          <a:xfrm>
                            <a:off x="298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6" name="Rectangle 390"/>
                          <a:cNvSpPr>
                            <a:spLocks noChangeArrowheads="1"/>
                          </a:cNvSpPr>
                        </a:nvSpPr>
                        <a:spPr bwMode="auto">
                          <a:xfrm>
                            <a:off x="301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7" name="Rectangle 391"/>
                          <a:cNvSpPr>
                            <a:spLocks noChangeArrowheads="1"/>
                          </a:cNvSpPr>
                        </a:nvSpPr>
                        <a:spPr bwMode="auto">
                          <a:xfrm>
                            <a:off x="304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8" name="Rectangle 392"/>
                          <a:cNvSpPr>
                            <a:spLocks noChangeArrowheads="1"/>
                          </a:cNvSpPr>
                        </a:nvSpPr>
                        <a:spPr bwMode="auto">
                          <a:xfrm>
                            <a:off x="307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69" name="Rectangle 393"/>
                          <a:cNvSpPr>
                            <a:spLocks noChangeArrowheads="1"/>
                          </a:cNvSpPr>
                        </a:nvSpPr>
                        <a:spPr bwMode="auto">
                          <a:xfrm>
                            <a:off x="310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0" name="Rectangle 394"/>
                          <a:cNvSpPr>
                            <a:spLocks noChangeArrowheads="1"/>
                          </a:cNvSpPr>
                        </a:nvSpPr>
                        <a:spPr bwMode="auto">
                          <a:xfrm>
                            <a:off x="313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1" name="Rectangle 395"/>
                          <a:cNvSpPr>
                            <a:spLocks noChangeArrowheads="1"/>
                          </a:cNvSpPr>
                        </a:nvSpPr>
                        <a:spPr bwMode="auto">
                          <a:xfrm>
                            <a:off x="316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2" name="Rectangle 396"/>
                          <a:cNvSpPr>
                            <a:spLocks noChangeArrowheads="1"/>
                          </a:cNvSpPr>
                        </a:nvSpPr>
                        <a:spPr bwMode="auto">
                          <a:xfrm>
                            <a:off x="319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3" name="Rectangle 397"/>
                          <a:cNvSpPr>
                            <a:spLocks noChangeArrowheads="1"/>
                          </a:cNvSpPr>
                        </a:nvSpPr>
                        <a:spPr bwMode="auto">
                          <a:xfrm>
                            <a:off x="3226"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4" name="Rectangle 398"/>
                          <a:cNvSpPr>
                            <a:spLocks noChangeArrowheads="1"/>
                          </a:cNvSpPr>
                        </a:nvSpPr>
                        <a:spPr bwMode="auto">
                          <a:xfrm>
                            <a:off x="325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5" name="Rectangle 399"/>
                          <a:cNvSpPr>
                            <a:spLocks noChangeArrowheads="1"/>
                          </a:cNvSpPr>
                        </a:nvSpPr>
                        <a:spPr bwMode="auto">
                          <a:xfrm>
                            <a:off x="328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6" name="Rectangle 400"/>
                          <a:cNvSpPr>
                            <a:spLocks noChangeArrowheads="1"/>
                          </a:cNvSpPr>
                        </a:nvSpPr>
                        <a:spPr bwMode="auto">
                          <a:xfrm>
                            <a:off x="331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7" name="Rectangle 401"/>
                          <a:cNvSpPr>
                            <a:spLocks noChangeArrowheads="1"/>
                          </a:cNvSpPr>
                        </a:nvSpPr>
                        <a:spPr bwMode="auto">
                          <a:xfrm>
                            <a:off x="334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8" name="Rectangle 402"/>
                          <a:cNvSpPr>
                            <a:spLocks noChangeArrowheads="1"/>
                          </a:cNvSpPr>
                        </a:nvSpPr>
                        <a:spPr bwMode="auto">
                          <a:xfrm>
                            <a:off x="337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79" name="Rectangle 403"/>
                          <a:cNvSpPr>
                            <a:spLocks noChangeArrowheads="1"/>
                          </a:cNvSpPr>
                        </a:nvSpPr>
                        <a:spPr bwMode="auto">
                          <a:xfrm>
                            <a:off x="3405"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0" name="Rectangle 404"/>
                          <a:cNvSpPr>
                            <a:spLocks noChangeArrowheads="1"/>
                          </a:cNvSpPr>
                        </a:nvSpPr>
                        <a:spPr bwMode="auto">
                          <a:xfrm>
                            <a:off x="343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1" name="Rectangle 405"/>
                          <a:cNvSpPr>
                            <a:spLocks noChangeArrowheads="1"/>
                          </a:cNvSpPr>
                        </a:nvSpPr>
                        <a:spPr bwMode="auto">
                          <a:xfrm>
                            <a:off x="346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2" name="Rectangle 406"/>
                          <a:cNvSpPr>
                            <a:spLocks noChangeArrowheads="1"/>
                          </a:cNvSpPr>
                        </a:nvSpPr>
                        <a:spPr bwMode="auto">
                          <a:xfrm>
                            <a:off x="349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3" name="Rectangle 407"/>
                          <a:cNvSpPr>
                            <a:spLocks noChangeArrowheads="1"/>
                          </a:cNvSpPr>
                        </a:nvSpPr>
                        <a:spPr bwMode="auto">
                          <a:xfrm>
                            <a:off x="352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4" name="Rectangle 408"/>
                          <a:cNvSpPr>
                            <a:spLocks noChangeArrowheads="1"/>
                          </a:cNvSpPr>
                        </a:nvSpPr>
                        <a:spPr bwMode="auto">
                          <a:xfrm>
                            <a:off x="3554"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5" name="Rectangle 409"/>
                          <a:cNvSpPr>
                            <a:spLocks noChangeArrowheads="1"/>
                          </a:cNvSpPr>
                        </a:nvSpPr>
                        <a:spPr bwMode="auto">
                          <a:xfrm>
                            <a:off x="358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grpSp>
                      <a:nvGrpSpPr>
                        <a:cNvPr id="6" name="Group 611"/>
                        <a:cNvGrpSpPr>
                          <a:grpSpLocks/>
                        </a:cNvGrpSpPr>
                      </a:nvGrpSpPr>
                      <a:grpSpPr bwMode="auto">
                        <a:xfrm>
                          <a:off x="1437" y="1841"/>
                          <a:ext cx="3230" cy="584"/>
                          <a:chOff x="1437" y="1841"/>
                          <a:chExt cx="3230" cy="584"/>
                        </a:xfrm>
                      </a:grpSpPr>
                      <a:sp>
                        <a:nvSpPr>
                          <a:cNvPr id="460187" name="Rectangle 411"/>
                          <a:cNvSpPr>
                            <a:spLocks noChangeArrowheads="1"/>
                          </a:cNvSpPr>
                        </a:nvSpPr>
                        <a:spPr bwMode="auto">
                          <a:xfrm>
                            <a:off x="361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8" name="Rectangle 412"/>
                          <a:cNvSpPr>
                            <a:spLocks noChangeArrowheads="1"/>
                          </a:cNvSpPr>
                        </a:nvSpPr>
                        <a:spPr bwMode="auto">
                          <a:xfrm>
                            <a:off x="364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89" name="Rectangle 413"/>
                          <a:cNvSpPr>
                            <a:spLocks noChangeArrowheads="1"/>
                          </a:cNvSpPr>
                        </a:nvSpPr>
                        <a:spPr bwMode="auto">
                          <a:xfrm>
                            <a:off x="367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0" name="Rectangle 414"/>
                          <a:cNvSpPr>
                            <a:spLocks noChangeArrowheads="1"/>
                          </a:cNvSpPr>
                        </a:nvSpPr>
                        <a:spPr bwMode="auto">
                          <a:xfrm>
                            <a:off x="370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1" name="Rectangle 415"/>
                          <a:cNvSpPr>
                            <a:spLocks noChangeArrowheads="1"/>
                          </a:cNvSpPr>
                        </a:nvSpPr>
                        <a:spPr bwMode="auto">
                          <a:xfrm>
                            <a:off x="3733"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2" name="Rectangle 416"/>
                          <a:cNvSpPr>
                            <a:spLocks noChangeArrowheads="1"/>
                          </a:cNvSpPr>
                        </a:nvSpPr>
                        <a:spPr bwMode="auto">
                          <a:xfrm>
                            <a:off x="376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3" name="Rectangle 417"/>
                          <a:cNvSpPr>
                            <a:spLocks noChangeArrowheads="1"/>
                          </a:cNvSpPr>
                        </a:nvSpPr>
                        <a:spPr bwMode="auto">
                          <a:xfrm>
                            <a:off x="379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4" name="Rectangle 418"/>
                          <a:cNvSpPr>
                            <a:spLocks noChangeArrowheads="1"/>
                          </a:cNvSpPr>
                        </a:nvSpPr>
                        <a:spPr bwMode="auto">
                          <a:xfrm>
                            <a:off x="382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5" name="Rectangle 419"/>
                          <a:cNvSpPr>
                            <a:spLocks noChangeArrowheads="1"/>
                          </a:cNvSpPr>
                        </a:nvSpPr>
                        <a:spPr bwMode="auto">
                          <a:xfrm>
                            <a:off x="385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6" name="Rectangle 420"/>
                          <a:cNvSpPr>
                            <a:spLocks noChangeArrowheads="1"/>
                          </a:cNvSpPr>
                        </a:nvSpPr>
                        <a:spPr bwMode="auto">
                          <a:xfrm>
                            <a:off x="3882"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7" name="Rectangle 421"/>
                          <a:cNvSpPr>
                            <a:spLocks noChangeArrowheads="1"/>
                          </a:cNvSpPr>
                        </a:nvSpPr>
                        <a:spPr bwMode="auto">
                          <a:xfrm>
                            <a:off x="391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8" name="Rectangle 422"/>
                          <a:cNvSpPr>
                            <a:spLocks noChangeArrowheads="1"/>
                          </a:cNvSpPr>
                        </a:nvSpPr>
                        <a:spPr bwMode="auto">
                          <a:xfrm>
                            <a:off x="394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199" name="Rectangle 423"/>
                          <a:cNvSpPr>
                            <a:spLocks noChangeArrowheads="1"/>
                          </a:cNvSpPr>
                        </a:nvSpPr>
                        <a:spPr bwMode="auto">
                          <a:xfrm>
                            <a:off x="397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0" name="Rectangle 424"/>
                          <a:cNvSpPr>
                            <a:spLocks noChangeArrowheads="1"/>
                          </a:cNvSpPr>
                        </a:nvSpPr>
                        <a:spPr bwMode="auto">
                          <a:xfrm>
                            <a:off x="400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1" name="Rectangle 425"/>
                          <a:cNvSpPr>
                            <a:spLocks noChangeArrowheads="1"/>
                          </a:cNvSpPr>
                        </a:nvSpPr>
                        <a:spPr bwMode="auto">
                          <a:xfrm>
                            <a:off x="403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2" name="Rectangle 426"/>
                          <a:cNvSpPr>
                            <a:spLocks noChangeArrowheads="1"/>
                          </a:cNvSpPr>
                        </a:nvSpPr>
                        <a:spPr bwMode="auto">
                          <a:xfrm>
                            <a:off x="4061"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3" name="Rectangle 427"/>
                          <a:cNvSpPr>
                            <a:spLocks noChangeArrowheads="1"/>
                          </a:cNvSpPr>
                        </a:nvSpPr>
                        <a:spPr bwMode="auto">
                          <a:xfrm>
                            <a:off x="409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4" name="Rectangle 428"/>
                          <a:cNvSpPr>
                            <a:spLocks noChangeArrowheads="1"/>
                          </a:cNvSpPr>
                        </a:nvSpPr>
                        <a:spPr bwMode="auto">
                          <a:xfrm>
                            <a:off x="412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5" name="Rectangle 429"/>
                          <a:cNvSpPr>
                            <a:spLocks noChangeArrowheads="1"/>
                          </a:cNvSpPr>
                        </a:nvSpPr>
                        <a:spPr bwMode="auto">
                          <a:xfrm>
                            <a:off x="415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6" name="Rectangle 430"/>
                          <a:cNvSpPr>
                            <a:spLocks noChangeArrowheads="1"/>
                          </a:cNvSpPr>
                        </a:nvSpPr>
                        <a:spPr bwMode="auto">
                          <a:xfrm>
                            <a:off x="418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7" name="Rectangle 431"/>
                          <a:cNvSpPr>
                            <a:spLocks noChangeArrowheads="1"/>
                          </a:cNvSpPr>
                        </a:nvSpPr>
                        <a:spPr bwMode="auto">
                          <a:xfrm>
                            <a:off x="4210"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8" name="Rectangle 432"/>
                          <a:cNvSpPr>
                            <a:spLocks noChangeArrowheads="1"/>
                          </a:cNvSpPr>
                        </a:nvSpPr>
                        <a:spPr bwMode="auto">
                          <a:xfrm>
                            <a:off x="4240"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09" name="Rectangle 433"/>
                          <a:cNvSpPr>
                            <a:spLocks noChangeArrowheads="1"/>
                          </a:cNvSpPr>
                        </a:nvSpPr>
                        <a:spPr bwMode="auto">
                          <a:xfrm>
                            <a:off x="426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0" name="Rectangle 434"/>
                          <a:cNvSpPr>
                            <a:spLocks noChangeArrowheads="1"/>
                          </a:cNvSpPr>
                        </a:nvSpPr>
                        <a:spPr bwMode="auto">
                          <a:xfrm>
                            <a:off x="429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1" name="Rectangle 435"/>
                          <a:cNvSpPr>
                            <a:spLocks noChangeArrowheads="1"/>
                          </a:cNvSpPr>
                        </a:nvSpPr>
                        <a:spPr bwMode="auto">
                          <a:xfrm>
                            <a:off x="432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2" name="Rectangle 436"/>
                          <a:cNvSpPr>
                            <a:spLocks noChangeArrowheads="1"/>
                          </a:cNvSpPr>
                        </a:nvSpPr>
                        <a:spPr bwMode="auto">
                          <a:xfrm>
                            <a:off x="435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3" name="Rectangle 437"/>
                          <a:cNvSpPr>
                            <a:spLocks noChangeArrowheads="1"/>
                          </a:cNvSpPr>
                        </a:nvSpPr>
                        <a:spPr bwMode="auto">
                          <a:xfrm>
                            <a:off x="4389"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4" name="Rectangle 438"/>
                          <a:cNvSpPr>
                            <a:spLocks noChangeArrowheads="1"/>
                          </a:cNvSpPr>
                        </a:nvSpPr>
                        <a:spPr bwMode="auto">
                          <a:xfrm>
                            <a:off x="441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5" name="Rectangle 439"/>
                          <a:cNvSpPr>
                            <a:spLocks noChangeArrowheads="1"/>
                          </a:cNvSpPr>
                        </a:nvSpPr>
                        <a:spPr bwMode="auto">
                          <a:xfrm>
                            <a:off x="444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6" name="Rectangle 440"/>
                          <a:cNvSpPr>
                            <a:spLocks noChangeArrowheads="1"/>
                          </a:cNvSpPr>
                        </a:nvSpPr>
                        <a:spPr bwMode="auto">
                          <a:xfrm>
                            <a:off x="447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7" name="Rectangle 441"/>
                          <a:cNvSpPr>
                            <a:spLocks noChangeArrowheads="1"/>
                          </a:cNvSpPr>
                        </a:nvSpPr>
                        <a:spPr bwMode="auto">
                          <a:xfrm>
                            <a:off x="450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8" name="Rectangle 442"/>
                          <a:cNvSpPr>
                            <a:spLocks noChangeArrowheads="1"/>
                          </a:cNvSpPr>
                        </a:nvSpPr>
                        <a:spPr bwMode="auto">
                          <a:xfrm>
                            <a:off x="4538"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19" name="Rectangle 443"/>
                          <a:cNvSpPr>
                            <a:spLocks noChangeArrowheads="1"/>
                          </a:cNvSpPr>
                        </a:nvSpPr>
                        <a:spPr bwMode="auto">
                          <a:xfrm>
                            <a:off x="4568" y="242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0" name="Rectangle 444"/>
                          <a:cNvSpPr>
                            <a:spLocks noChangeArrowheads="1"/>
                          </a:cNvSpPr>
                        </a:nvSpPr>
                        <a:spPr bwMode="auto">
                          <a:xfrm>
                            <a:off x="459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1" name="Rectangle 445"/>
                          <a:cNvSpPr>
                            <a:spLocks noChangeArrowheads="1"/>
                          </a:cNvSpPr>
                        </a:nvSpPr>
                        <a:spPr bwMode="auto">
                          <a:xfrm>
                            <a:off x="462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2" name="Rectangle 446"/>
                          <a:cNvSpPr>
                            <a:spLocks noChangeArrowheads="1"/>
                          </a:cNvSpPr>
                        </a:nvSpPr>
                        <a:spPr bwMode="auto">
                          <a:xfrm>
                            <a:off x="4657" y="242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3" name="Rectangle 447"/>
                          <a:cNvSpPr>
                            <a:spLocks noChangeArrowheads="1"/>
                          </a:cNvSpPr>
                        </a:nvSpPr>
                        <a:spPr bwMode="auto">
                          <a:xfrm>
                            <a:off x="1437"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4" name="Rectangle 448"/>
                          <a:cNvSpPr>
                            <a:spLocks noChangeArrowheads="1"/>
                          </a:cNvSpPr>
                        </a:nvSpPr>
                        <a:spPr bwMode="auto">
                          <a:xfrm>
                            <a:off x="146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5" name="Rectangle 449"/>
                          <a:cNvSpPr>
                            <a:spLocks noChangeArrowheads="1"/>
                          </a:cNvSpPr>
                        </a:nvSpPr>
                        <a:spPr bwMode="auto">
                          <a:xfrm>
                            <a:off x="149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6" name="Rectangle 450"/>
                          <a:cNvSpPr>
                            <a:spLocks noChangeArrowheads="1"/>
                          </a:cNvSpPr>
                        </a:nvSpPr>
                        <a:spPr bwMode="auto">
                          <a:xfrm>
                            <a:off x="152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7" name="Rectangle 451"/>
                          <a:cNvSpPr>
                            <a:spLocks noChangeArrowheads="1"/>
                          </a:cNvSpPr>
                        </a:nvSpPr>
                        <a:spPr bwMode="auto">
                          <a:xfrm>
                            <a:off x="155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8" name="Rectangle 452"/>
                          <a:cNvSpPr>
                            <a:spLocks noChangeArrowheads="1"/>
                          </a:cNvSpPr>
                        </a:nvSpPr>
                        <a:spPr bwMode="auto">
                          <a:xfrm>
                            <a:off x="158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29" name="Rectangle 453"/>
                          <a:cNvSpPr>
                            <a:spLocks noChangeArrowheads="1"/>
                          </a:cNvSpPr>
                        </a:nvSpPr>
                        <a:spPr bwMode="auto">
                          <a:xfrm>
                            <a:off x="161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0" name="Rectangle 454"/>
                          <a:cNvSpPr>
                            <a:spLocks noChangeArrowheads="1"/>
                          </a:cNvSpPr>
                        </a:nvSpPr>
                        <a:spPr bwMode="auto">
                          <a:xfrm>
                            <a:off x="164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1" name="Rectangle 455"/>
                          <a:cNvSpPr>
                            <a:spLocks noChangeArrowheads="1"/>
                          </a:cNvSpPr>
                        </a:nvSpPr>
                        <a:spPr bwMode="auto">
                          <a:xfrm>
                            <a:off x="167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2" name="Rectangle 456"/>
                          <a:cNvSpPr>
                            <a:spLocks noChangeArrowheads="1"/>
                          </a:cNvSpPr>
                        </a:nvSpPr>
                        <a:spPr bwMode="auto">
                          <a:xfrm>
                            <a:off x="170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3" name="Rectangle 457"/>
                          <a:cNvSpPr>
                            <a:spLocks noChangeArrowheads="1"/>
                          </a:cNvSpPr>
                        </a:nvSpPr>
                        <a:spPr bwMode="auto">
                          <a:xfrm>
                            <a:off x="173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4" name="Rectangle 458"/>
                          <a:cNvSpPr>
                            <a:spLocks noChangeArrowheads="1"/>
                          </a:cNvSpPr>
                        </a:nvSpPr>
                        <a:spPr bwMode="auto">
                          <a:xfrm>
                            <a:off x="1765"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5" name="Rectangle 459"/>
                          <a:cNvSpPr>
                            <a:spLocks noChangeArrowheads="1"/>
                          </a:cNvSpPr>
                        </a:nvSpPr>
                        <a:spPr bwMode="auto">
                          <a:xfrm>
                            <a:off x="179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6" name="Rectangle 460"/>
                          <a:cNvSpPr>
                            <a:spLocks noChangeArrowheads="1"/>
                          </a:cNvSpPr>
                        </a:nvSpPr>
                        <a:spPr bwMode="auto">
                          <a:xfrm>
                            <a:off x="182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7" name="Rectangle 461"/>
                          <a:cNvSpPr>
                            <a:spLocks noChangeArrowheads="1"/>
                          </a:cNvSpPr>
                        </a:nvSpPr>
                        <a:spPr bwMode="auto">
                          <a:xfrm>
                            <a:off x="185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8" name="Rectangle 462"/>
                          <a:cNvSpPr>
                            <a:spLocks noChangeArrowheads="1"/>
                          </a:cNvSpPr>
                        </a:nvSpPr>
                        <a:spPr bwMode="auto">
                          <a:xfrm>
                            <a:off x="188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39" name="Rectangle 463"/>
                          <a:cNvSpPr>
                            <a:spLocks noChangeArrowheads="1"/>
                          </a:cNvSpPr>
                        </a:nvSpPr>
                        <a:spPr bwMode="auto">
                          <a:xfrm>
                            <a:off x="191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0" name="Rectangle 464"/>
                          <a:cNvSpPr>
                            <a:spLocks noChangeArrowheads="1"/>
                          </a:cNvSpPr>
                        </a:nvSpPr>
                        <a:spPr bwMode="auto">
                          <a:xfrm>
                            <a:off x="194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1" name="Rectangle 465"/>
                          <a:cNvSpPr>
                            <a:spLocks noChangeArrowheads="1"/>
                          </a:cNvSpPr>
                        </a:nvSpPr>
                        <a:spPr bwMode="auto">
                          <a:xfrm>
                            <a:off x="197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2" name="Rectangle 466"/>
                          <a:cNvSpPr>
                            <a:spLocks noChangeArrowheads="1"/>
                          </a:cNvSpPr>
                        </a:nvSpPr>
                        <a:spPr bwMode="auto">
                          <a:xfrm>
                            <a:off x="200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3" name="Rectangle 467"/>
                          <a:cNvSpPr>
                            <a:spLocks noChangeArrowheads="1"/>
                          </a:cNvSpPr>
                        </a:nvSpPr>
                        <a:spPr bwMode="auto">
                          <a:xfrm>
                            <a:off x="203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4" name="Rectangle 468"/>
                          <a:cNvSpPr>
                            <a:spLocks noChangeArrowheads="1"/>
                          </a:cNvSpPr>
                        </a:nvSpPr>
                        <a:spPr bwMode="auto">
                          <a:xfrm>
                            <a:off x="206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5" name="Rectangle 469"/>
                          <a:cNvSpPr>
                            <a:spLocks noChangeArrowheads="1"/>
                          </a:cNvSpPr>
                        </a:nvSpPr>
                        <a:spPr bwMode="auto">
                          <a:xfrm>
                            <a:off x="2093"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6" name="Rectangle 470"/>
                          <a:cNvSpPr>
                            <a:spLocks noChangeArrowheads="1"/>
                          </a:cNvSpPr>
                        </a:nvSpPr>
                        <a:spPr bwMode="auto">
                          <a:xfrm>
                            <a:off x="212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7" name="Rectangle 471"/>
                          <a:cNvSpPr>
                            <a:spLocks noChangeArrowheads="1"/>
                          </a:cNvSpPr>
                        </a:nvSpPr>
                        <a:spPr bwMode="auto">
                          <a:xfrm>
                            <a:off x="215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8" name="Rectangle 472"/>
                          <a:cNvSpPr>
                            <a:spLocks noChangeArrowheads="1"/>
                          </a:cNvSpPr>
                        </a:nvSpPr>
                        <a:spPr bwMode="auto">
                          <a:xfrm>
                            <a:off x="218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49" name="Rectangle 473"/>
                          <a:cNvSpPr>
                            <a:spLocks noChangeArrowheads="1"/>
                          </a:cNvSpPr>
                        </a:nvSpPr>
                        <a:spPr bwMode="auto">
                          <a:xfrm>
                            <a:off x="221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0" name="Rectangle 474"/>
                          <a:cNvSpPr>
                            <a:spLocks noChangeArrowheads="1"/>
                          </a:cNvSpPr>
                        </a:nvSpPr>
                        <a:spPr bwMode="auto">
                          <a:xfrm>
                            <a:off x="224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1" name="Rectangle 475"/>
                          <a:cNvSpPr>
                            <a:spLocks noChangeArrowheads="1"/>
                          </a:cNvSpPr>
                        </a:nvSpPr>
                        <a:spPr bwMode="auto">
                          <a:xfrm>
                            <a:off x="227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2" name="Rectangle 476"/>
                          <a:cNvSpPr>
                            <a:spLocks noChangeArrowheads="1"/>
                          </a:cNvSpPr>
                        </a:nvSpPr>
                        <a:spPr bwMode="auto">
                          <a:xfrm>
                            <a:off x="230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3" name="Rectangle 477"/>
                          <a:cNvSpPr>
                            <a:spLocks noChangeArrowheads="1"/>
                          </a:cNvSpPr>
                        </a:nvSpPr>
                        <a:spPr bwMode="auto">
                          <a:xfrm>
                            <a:off x="233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4" name="Rectangle 478"/>
                          <a:cNvSpPr>
                            <a:spLocks noChangeArrowheads="1"/>
                          </a:cNvSpPr>
                        </a:nvSpPr>
                        <a:spPr bwMode="auto">
                          <a:xfrm>
                            <a:off x="236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5" name="Rectangle 479"/>
                          <a:cNvSpPr>
                            <a:spLocks noChangeArrowheads="1"/>
                          </a:cNvSpPr>
                        </a:nvSpPr>
                        <a:spPr bwMode="auto">
                          <a:xfrm>
                            <a:off x="239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6" name="Rectangle 480"/>
                          <a:cNvSpPr>
                            <a:spLocks noChangeArrowheads="1"/>
                          </a:cNvSpPr>
                        </a:nvSpPr>
                        <a:spPr bwMode="auto">
                          <a:xfrm>
                            <a:off x="2421"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7" name="Rectangle 481"/>
                          <a:cNvSpPr>
                            <a:spLocks noChangeArrowheads="1"/>
                          </a:cNvSpPr>
                        </a:nvSpPr>
                        <a:spPr bwMode="auto">
                          <a:xfrm>
                            <a:off x="245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8" name="Rectangle 482"/>
                          <a:cNvSpPr>
                            <a:spLocks noChangeArrowheads="1"/>
                          </a:cNvSpPr>
                        </a:nvSpPr>
                        <a:spPr bwMode="auto">
                          <a:xfrm>
                            <a:off x="248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59" name="Rectangle 483"/>
                          <a:cNvSpPr>
                            <a:spLocks noChangeArrowheads="1"/>
                          </a:cNvSpPr>
                        </a:nvSpPr>
                        <a:spPr bwMode="auto">
                          <a:xfrm>
                            <a:off x="251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0" name="Rectangle 484"/>
                          <a:cNvSpPr>
                            <a:spLocks noChangeArrowheads="1"/>
                          </a:cNvSpPr>
                        </a:nvSpPr>
                        <a:spPr bwMode="auto">
                          <a:xfrm>
                            <a:off x="254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1" name="Rectangle 485"/>
                          <a:cNvSpPr>
                            <a:spLocks noChangeArrowheads="1"/>
                          </a:cNvSpPr>
                        </a:nvSpPr>
                        <a:spPr bwMode="auto">
                          <a:xfrm>
                            <a:off x="257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2" name="Rectangle 486"/>
                          <a:cNvSpPr>
                            <a:spLocks noChangeArrowheads="1"/>
                          </a:cNvSpPr>
                        </a:nvSpPr>
                        <a:spPr bwMode="auto">
                          <a:xfrm>
                            <a:off x="259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3" name="Rectangle 487"/>
                          <a:cNvSpPr>
                            <a:spLocks noChangeArrowheads="1"/>
                          </a:cNvSpPr>
                        </a:nvSpPr>
                        <a:spPr bwMode="auto">
                          <a:xfrm>
                            <a:off x="262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4" name="Rectangle 488"/>
                          <a:cNvSpPr>
                            <a:spLocks noChangeArrowheads="1"/>
                          </a:cNvSpPr>
                        </a:nvSpPr>
                        <a:spPr bwMode="auto">
                          <a:xfrm>
                            <a:off x="265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5" name="Rectangle 489"/>
                          <a:cNvSpPr>
                            <a:spLocks noChangeArrowheads="1"/>
                          </a:cNvSpPr>
                        </a:nvSpPr>
                        <a:spPr bwMode="auto">
                          <a:xfrm>
                            <a:off x="268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6" name="Rectangle 490"/>
                          <a:cNvSpPr>
                            <a:spLocks noChangeArrowheads="1"/>
                          </a:cNvSpPr>
                        </a:nvSpPr>
                        <a:spPr bwMode="auto">
                          <a:xfrm>
                            <a:off x="271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7" name="Rectangle 491"/>
                          <a:cNvSpPr>
                            <a:spLocks noChangeArrowheads="1"/>
                          </a:cNvSpPr>
                        </a:nvSpPr>
                        <a:spPr bwMode="auto">
                          <a:xfrm>
                            <a:off x="2749"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8" name="Rectangle 492"/>
                          <a:cNvSpPr>
                            <a:spLocks noChangeArrowheads="1"/>
                          </a:cNvSpPr>
                        </a:nvSpPr>
                        <a:spPr bwMode="auto">
                          <a:xfrm>
                            <a:off x="277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69" name="Rectangle 493"/>
                          <a:cNvSpPr>
                            <a:spLocks noChangeArrowheads="1"/>
                          </a:cNvSpPr>
                        </a:nvSpPr>
                        <a:spPr bwMode="auto">
                          <a:xfrm>
                            <a:off x="280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0" name="Rectangle 494"/>
                          <a:cNvSpPr>
                            <a:spLocks noChangeArrowheads="1"/>
                          </a:cNvSpPr>
                        </a:nvSpPr>
                        <a:spPr bwMode="auto">
                          <a:xfrm>
                            <a:off x="283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1" name="Rectangle 495"/>
                          <a:cNvSpPr>
                            <a:spLocks noChangeArrowheads="1"/>
                          </a:cNvSpPr>
                        </a:nvSpPr>
                        <a:spPr bwMode="auto">
                          <a:xfrm>
                            <a:off x="286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2" name="Rectangle 496"/>
                          <a:cNvSpPr>
                            <a:spLocks noChangeArrowheads="1"/>
                          </a:cNvSpPr>
                        </a:nvSpPr>
                        <a:spPr bwMode="auto">
                          <a:xfrm>
                            <a:off x="289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3" name="Rectangle 497"/>
                          <a:cNvSpPr>
                            <a:spLocks noChangeArrowheads="1"/>
                          </a:cNvSpPr>
                        </a:nvSpPr>
                        <a:spPr bwMode="auto">
                          <a:xfrm>
                            <a:off x="292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4" name="Rectangle 498"/>
                          <a:cNvSpPr>
                            <a:spLocks noChangeArrowheads="1"/>
                          </a:cNvSpPr>
                        </a:nvSpPr>
                        <a:spPr bwMode="auto">
                          <a:xfrm>
                            <a:off x="295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5" name="Rectangle 499"/>
                          <a:cNvSpPr>
                            <a:spLocks noChangeArrowheads="1"/>
                          </a:cNvSpPr>
                        </a:nvSpPr>
                        <a:spPr bwMode="auto">
                          <a:xfrm>
                            <a:off x="298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6" name="Rectangle 500"/>
                          <a:cNvSpPr>
                            <a:spLocks noChangeArrowheads="1"/>
                          </a:cNvSpPr>
                        </a:nvSpPr>
                        <a:spPr bwMode="auto">
                          <a:xfrm>
                            <a:off x="301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7" name="Rectangle 501"/>
                          <a:cNvSpPr>
                            <a:spLocks noChangeArrowheads="1"/>
                          </a:cNvSpPr>
                        </a:nvSpPr>
                        <a:spPr bwMode="auto">
                          <a:xfrm>
                            <a:off x="304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8" name="Rectangle 502"/>
                          <a:cNvSpPr>
                            <a:spLocks noChangeArrowheads="1"/>
                          </a:cNvSpPr>
                        </a:nvSpPr>
                        <a:spPr bwMode="auto">
                          <a:xfrm>
                            <a:off x="307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79" name="Rectangle 503"/>
                          <a:cNvSpPr>
                            <a:spLocks noChangeArrowheads="1"/>
                          </a:cNvSpPr>
                        </a:nvSpPr>
                        <a:spPr bwMode="auto">
                          <a:xfrm>
                            <a:off x="310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0" name="Rectangle 504"/>
                          <a:cNvSpPr>
                            <a:spLocks noChangeArrowheads="1"/>
                          </a:cNvSpPr>
                        </a:nvSpPr>
                        <a:spPr bwMode="auto">
                          <a:xfrm>
                            <a:off x="313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1" name="Rectangle 505"/>
                          <a:cNvSpPr>
                            <a:spLocks noChangeArrowheads="1"/>
                          </a:cNvSpPr>
                        </a:nvSpPr>
                        <a:spPr bwMode="auto">
                          <a:xfrm>
                            <a:off x="316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2" name="Rectangle 506"/>
                          <a:cNvSpPr>
                            <a:spLocks noChangeArrowheads="1"/>
                          </a:cNvSpPr>
                        </a:nvSpPr>
                        <a:spPr bwMode="auto">
                          <a:xfrm>
                            <a:off x="319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3" name="Rectangle 507"/>
                          <a:cNvSpPr>
                            <a:spLocks noChangeArrowheads="1"/>
                          </a:cNvSpPr>
                        </a:nvSpPr>
                        <a:spPr bwMode="auto">
                          <a:xfrm>
                            <a:off x="3226"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4" name="Rectangle 508"/>
                          <a:cNvSpPr>
                            <a:spLocks noChangeArrowheads="1"/>
                          </a:cNvSpPr>
                        </a:nvSpPr>
                        <a:spPr bwMode="auto">
                          <a:xfrm>
                            <a:off x="325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5" name="Rectangle 509"/>
                          <a:cNvSpPr>
                            <a:spLocks noChangeArrowheads="1"/>
                          </a:cNvSpPr>
                        </a:nvSpPr>
                        <a:spPr bwMode="auto">
                          <a:xfrm>
                            <a:off x="328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6" name="Rectangle 510"/>
                          <a:cNvSpPr>
                            <a:spLocks noChangeArrowheads="1"/>
                          </a:cNvSpPr>
                        </a:nvSpPr>
                        <a:spPr bwMode="auto">
                          <a:xfrm>
                            <a:off x="331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7" name="Rectangle 511"/>
                          <a:cNvSpPr>
                            <a:spLocks noChangeArrowheads="1"/>
                          </a:cNvSpPr>
                        </a:nvSpPr>
                        <a:spPr bwMode="auto">
                          <a:xfrm>
                            <a:off x="334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8" name="Rectangle 512"/>
                          <a:cNvSpPr>
                            <a:spLocks noChangeArrowheads="1"/>
                          </a:cNvSpPr>
                        </a:nvSpPr>
                        <a:spPr bwMode="auto">
                          <a:xfrm>
                            <a:off x="337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89" name="Rectangle 513"/>
                          <a:cNvSpPr>
                            <a:spLocks noChangeArrowheads="1"/>
                          </a:cNvSpPr>
                        </a:nvSpPr>
                        <a:spPr bwMode="auto">
                          <a:xfrm>
                            <a:off x="3405"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0" name="Rectangle 514"/>
                          <a:cNvSpPr>
                            <a:spLocks noChangeArrowheads="1"/>
                          </a:cNvSpPr>
                        </a:nvSpPr>
                        <a:spPr bwMode="auto">
                          <a:xfrm>
                            <a:off x="343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1" name="Rectangle 515"/>
                          <a:cNvSpPr>
                            <a:spLocks noChangeArrowheads="1"/>
                          </a:cNvSpPr>
                        </a:nvSpPr>
                        <a:spPr bwMode="auto">
                          <a:xfrm>
                            <a:off x="346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2" name="Rectangle 516"/>
                          <a:cNvSpPr>
                            <a:spLocks noChangeArrowheads="1"/>
                          </a:cNvSpPr>
                        </a:nvSpPr>
                        <a:spPr bwMode="auto">
                          <a:xfrm>
                            <a:off x="349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3" name="Rectangle 517"/>
                          <a:cNvSpPr>
                            <a:spLocks noChangeArrowheads="1"/>
                          </a:cNvSpPr>
                        </a:nvSpPr>
                        <a:spPr bwMode="auto">
                          <a:xfrm>
                            <a:off x="352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4" name="Rectangle 518"/>
                          <a:cNvSpPr>
                            <a:spLocks noChangeArrowheads="1"/>
                          </a:cNvSpPr>
                        </a:nvSpPr>
                        <a:spPr bwMode="auto">
                          <a:xfrm>
                            <a:off x="3554"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5" name="Rectangle 519"/>
                          <a:cNvSpPr>
                            <a:spLocks noChangeArrowheads="1"/>
                          </a:cNvSpPr>
                        </a:nvSpPr>
                        <a:spPr bwMode="auto">
                          <a:xfrm>
                            <a:off x="358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6" name="Rectangle 520"/>
                          <a:cNvSpPr>
                            <a:spLocks noChangeArrowheads="1"/>
                          </a:cNvSpPr>
                        </a:nvSpPr>
                        <a:spPr bwMode="auto">
                          <a:xfrm>
                            <a:off x="361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7" name="Rectangle 521"/>
                          <a:cNvSpPr>
                            <a:spLocks noChangeArrowheads="1"/>
                          </a:cNvSpPr>
                        </a:nvSpPr>
                        <a:spPr bwMode="auto">
                          <a:xfrm>
                            <a:off x="364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8" name="Rectangle 522"/>
                          <a:cNvSpPr>
                            <a:spLocks noChangeArrowheads="1"/>
                          </a:cNvSpPr>
                        </a:nvSpPr>
                        <a:spPr bwMode="auto">
                          <a:xfrm>
                            <a:off x="367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299" name="Rectangle 523"/>
                          <a:cNvSpPr>
                            <a:spLocks noChangeArrowheads="1"/>
                          </a:cNvSpPr>
                        </a:nvSpPr>
                        <a:spPr bwMode="auto">
                          <a:xfrm>
                            <a:off x="370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0" name="Rectangle 524"/>
                          <a:cNvSpPr>
                            <a:spLocks noChangeArrowheads="1"/>
                          </a:cNvSpPr>
                        </a:nvSpPr>
                        <a:spPr bwMode="auto">
                          <a:xfrm>
                            <a:off x="3733"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1" name="Rectangle 525"/>
                          <a:cNvSpPr>
                            <a:spLocks noChangeArrowheads="1"/>
                          </a:cNvSpPr>
                        </a:nvSpPr>
                        <a:spPr bwMode="auto">
                          <a:xfrm>
                            <a:off x="376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2" name="Rectangle 526"/>
                          <a:cNvSpPr>
                            <a:spLocks noChangeArrowheads="1"/>
                          </a:cNvSpPr>
                        </a:nvSpPr>
                        <a:spPr bwMode="auto">
                          <a:xfrm>
                            <a:off x="379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3" name="Rectangle 527"/>
                          <a:cNvSpPr>
                            <a:spLocks noChangeArrowheads="1"/>
                          </a:cNvSpPr>
                        </a:nvSpPr>
                        <a:spPr bwMode="auto">
                          <a:xfrm>
                            <a:off x="382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4" name="Rectangle 528"/>
                          <a:cNvSpPr>
                            <a:spLocks noChangeArrowheads="1"/>
                          </a:cNvSpPr>
                        </a:nvSpPr>
                        <a:spPr bwMode="auto">
                          <a:xfrm>
                            <a:off x="385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5" name="Rectangle 529"/>
                          <a:cNvSpPr>
                            <a:spLocks noChangeArrowheads="1"/>
                          </a:cNvSpPr>
                        </a:nvSpPr>
                        <a:spPr bwMode="auto">
                          <a:xfrm>
                            <a:off x="3882"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6" name="Rectangle 530"/>
                          <a:cNvSpPr>
                            <a:spLocks noChangeArrowheads="1"/>
                          </a:cNvSpPr>
                        </a:nvSpPr>
                        <a:spPr bwMode="auto">
                          <a:xfrm>
                            <a:off x="391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7" name="Rectangle 531"/>
                          <a:cNvSpPr>
                            <a:spLocks noChangeArrowheads="1"/>
                          </a:cNvSpPr>
                        </a:nvSpPr>
                        <a:spPr bwMode="auto">
                          <a:xfrm>
                            <a:off x="394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8" name="Rectangle 532"/>
                          <a:cNvSpPr>
                            <a:spLocks noChangeArrowheads="1"/>
                          </a:cNvSpPr>
                        </a:nvSpPr>
                        <a:spPr bwMode="auto">
                          <a:xfrm>
                            <a:off x="397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09" name="Rectangle 533"/>
                          <a:cNvSpPr>
                            <a:spLocks noChangeArrowheads="1"/>
                          </a:cNvSpPr>
                        </a:nvSpPr>
                        <a:spPr bwMode="auto">
                          <a:xfrm>
                            <a:off x="400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0" name="Rectangle 534"/>
                          <a:cNvSpPr>
                            <a:spLocks noChangeArrowheads="1"/>
                          </a:cNvSpPr>
                        </a:nvSpPr>
                        <a:spPr bwMode="auto">
                          <a:xfrm>
                            <a:off x="403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1" name="Rectangle 535"/>
                          <a:cNvSpPr>
                            <a:spLocks noChangeArrowheads="1"/>
                          </a:cNvSpPr>
                        </a:nvSpPr>
                        <a:spPr bwMode="auto">
                          <a:xfrm>
                            <a:off x="4061"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2" name="Rectangle 536"/>
                          <a:cNvSpPr>
                            <a:spLocks noChangeArrowheads="1"/>
                          </a:cNvSpPr>
                        </a:nvSpPr>
                        <a:spPr bwMode="auto">
                          <a:xfrm>
                            <a:off x="409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3" name="Rectangle 537"/>
                          <a:cNvSpPr>
                            <a:spLocks noChangeArrowheads="1"/>
                          </a:cNvSpPr>
                        </a:nvSpPr>
                        <a:spPr bwMode="auto">
                          <a:xfrm>
                            <a:off x="412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4" name="Rectangle 538"/>
                          <a:cNvSpPr>
                            <a:spLocks noChangeArrowheads="1"/>
                          </a:cNvSpPr>
                        </a:nvSpPr>
                        <a:spPr bwMode="auto">
                          <a:xfrm>
                            <a:off x="415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5" name="Rectangle 539"/>
                          <a:cNvSpPr>
                            <a:spLocks noChangeArrowheads="1"/>
                          </a:cNvSpPr>
                        </a:nvSpPr>
                        <a:spPr bwMode="auto">
                          <a:xfrm>
                            <a:off x="418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6" name="Rectangle 540"/>
                          <a:cNvSpPr>
                            <a:spLocks noChangeArrowheads="1"/>
                          </a:cNvSpPr>
                        </a:nvSpPr>
                        <a:spPr bwMode="auto">
                          <a:xfrm>
                            <a:off x="4210"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7" name="Rectangle 541"/>
                          <a:cNvSpPr>
                            <a:spLocks noChangeArrowheads="1"/>
                          </a:cNvSpPr>
                        </a:nvSpPr>
                        <a:spPr bwMode="auto">
                          <a:xfrm>
                            <a:off x="4240"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8" name="Rectangle 542"/>
                          <a:cNvSpPr>
                            <a:spLocks noChangeArrowheads="1"/>
                          </a:cNvSpPr>
                        </a:nvSpPr>
                        <a:spPr bwMode="auto">
                          <a:xfrm>
                            <a:off x="426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19" name="Rectangle 543"/>
                          <a:cNvSpPr>
                            <a:spLocks noChangeArrowheads="1"/>
                          </a:cNvSpPr>
                        </a:nvSpPr>
                        <a:spPr bwMode="auto">
                          <a:xfrm>
                            <a:off x="429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0" name="Rectangle 544"/>
                          <a:cNvSpPr>
                            <a:spLocks noChangeArrowheads="1"/>
                          </a:cNvSpPr>
                        </a:nvSpPr>
                        <a:spPr bwMode="auto">
                          <a:xfrm>
                            <a:off x="432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1" name="Rectangle 545"/>
                          <a:cNvSpPr>
                            <a:spLocks noChangeArrowheads="1"/>
                          </a:cNvSpPr>
                        </a:nvSpPr>
                        <a:spPr bwMode="auto">
                          <a:xfrm>
                            <a:off x="435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2" name="Rectangle 546"/>
                          <a:cNvSpPr>
                            <a:spLocks noChangeArrowheads="1"/>
                          </a:cNvSpPr>
                        </a:nvSpPr>
                        <a:spPr bwMode="auto">
                          <a:xfrm>
                            <a:off x="4389"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3" name="Rectangle 547"/>
                          <a:cNvSpPr>
                            <a:spLocks noChangeArrowheads="1"/>
                          </a:cNvSpPr>
                        </a:nvSpPr>
                        <a:spPr bwMode="auto">
                          <a:xfrm>
                            <a:off x="441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4" name="Rectangle 548"/>
                          <a:cNvSpPr>
                            <a:spLocks noChangeArrowheads="1"/>
                          </a:cNvSpPr>
                        </a:nvSpPr>
                        <a:spPr bwMode="auto">
                          <a:xfrm>
                            <a:off x="444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5" name="Rectangle 549"/>
                          <a:cNvSpPr>
                            <a:spLocks noChangeArrowheads="1"/>
                          </a:cNvSpPr>
                        </a:nvSpPr>
                        <a:spPr bwMode="auto">
                          <a:xfrm>
                            <a:off x="447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6" name="Rectangle 550"/>
                          <a:cNvSpPr>
                            <a:spLocks noChangeArrowheads="1"/>
                          </a:cNvSpPr>
                        </a:nvSpPr>
                        <a:spPr bwMode="auto">
                          <a:xfrm>
                            <a:off x="450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7" name="Rectangle 551"/>
                          <a:cNvSpPr>
                            <a:spLocks noChangeArrowheads="1"/>
                          </a:cNvSpPr>
                        </a:nvSpPr>
                        <a:spPr bwMode="auto">
                          <a:xfrm>
                            <a:off x="4538"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8" name="Rectangle 552"/>
                          <a:cNvSpPr>
                            <a:spLocks noChangeArrowheads="1"/>
                          </a:cNvSpPr>
                        </a:nvSpPr>
                        <a:spPr bwMode="auto">
                          <a:xfrm>
                            <a:off x="4568" y="2130"/>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29" name="Rectangle 553"/>
                          <a:cNvSpPr>
                            <a:spLocks noChangeArrowheads="1"/>
                          </a:cNvSpPr>
                        </a:nvSpPr>
                        <a:spPr bwMode="auto">
                          <a:xfrm>
                            <a:off x="459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0" name="Rectangle 554"/>
                          <a:cNvSpPr>
                            <a:spLocks noChangeArrowheads="1"/>
                          </a:cNvSpPr>
                        </a:nvSpPr>
                        <a:spPr bwMode="auto">
                          <a:xfrm>
                            <a:off x="462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1" name="Rectangle 555"/>
                          <a:cNvSpPr>
                            <a:spLocks noChangeArrowheads="1"/>
                          </a:cNvSpPr>
                        </a:nvSpPr>
                        <a:spPr bwMode="auto">
                          <a:xfrm>
                            <a:off x="4657" y="2130"/>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2" name="Rectangle 556"/>
                          <a:cNvSpPr>
                            <a:spLocks noChangeArrowheads="1"/>
                          </a:cNvSpPr>
                        </a:nvSpPr>
                        <a:spPr bwMode="auto">
                          <a:xfrm>
                            <a:off x="1437"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3" name="Rectangle 557"/>
                          <a:cNvSpPr>
                            <a:spLocks noChangeArrowheads="1"/>
                          </a:cNvSpPr>
                        </a:nvSpPr>
                        <a:spPr bwMode="auto">
                          <a:xfrm>
                            <a:off x="146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4" name="Rectangle 558"/>
                          <a:cNvSpPr>
                            <a:spLocks noChangeArrowheads="1"/>
                          </a:cNvSpPr>
                        </a:nvSpPr>
                        <a:spPr bwMode="auto">
                          <a:xfrm>
                            <a:off x="149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5" name="Rectangle 559"/>
                          <a:cNvSpPr>
                            <a:spLocks noChangeArrowheads="1"/>
                          </a:cNvSpPr>
                        </a:nvSpPr>
                        <a:spPr bwMode="auto">
                          <a:xfrm>
                            <a:off x="152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6" name="Rectangle 560"/>
                          <a:cNvSpPr>
                            <a:spLocks noChangeArrowheads="1"/>
                          </a:cNvSpPr>
                        </a:nvSpPr>
                        <a:spPr bwMode="auto">
                          <a:xfrm>
                            <a:off x="155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7" name="Rectangle 561"/>
                          <a:cNvSpPr>
                            <a:spLocks noChangeArrowheads="1"/>
                          </a:cNvSpPr>
                        </a:nvSpPr>
                        <a:spPr bwMode="auto">
                          <a:xfrm>
                            <a:off x="158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8" name="Rectangle 562"/>
                          <a:cNvSpPr>
                            <a:spLocks noChangeArrowheads="1"/>
                          </a:cNvSpPr>
                        </a:nvSpPr>
                        <a:spPr bwMode="auto">
                          <a:xfrm>
                            <a:off x="161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39" name="Rectangle 563"/>
                          <a:cNvSpPr>
                            <a:spLocks noChangeArrowheads="1"/>
                          </a:cNvSpPr>
                        </a:nvSpPr>
                        <a:spPr bwMode="auto">
                          <a:xfrm>
                            <a:off x="164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0" name="Rectangle 564"/>
                          <a:cNvSpPr>
                            <a:spLocks noChangeArrowheads="1"/>
                          </a:cNvSpPr>
                        </a:nvSpPr>
                        <a:spPr bwMode="auto">
                          <a:xfrm>
                            <a:off x="167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1" name="Rectangle 565"/>
                          <a:cNvSpPr>
                            <a:spLocks noChangeArrowheads="1"/>
                          </a:cNvSpPr>
                        </a:nvSpPr>
                        <a:spPr bwMode="auto">
                          <a:xfrm>
                            <a:off x="170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2" name="Rectangle 566"/>
                          <a:cNvSpPr>
                            <a:spLocks noChangeArrowheads="1"/>
                          </a:cNvSpPr>
                        </a:nvSpPr>
                        <a:spPr bwMode="auto">
                          <a:xfrm>
                            <a:off x="173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3" name="Rectangle 567"/>
                          <a:cNvSpPr>
                            <a:spLocks noChangeArrowheads="1"/>
                          </a:cNvSpPr>
                        </a:nvSpPr>
                        <a:spPr bwMode="auto">
                          <a:xfrm>
                            <a:off x="1765"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4" name="Rectangle 568"/>
                          <a:cNvSpPr>
                            <a:spLocks noChangeArrowheads="1"/>
                          </a:cNvSpPr>
                        </a:nvSpPr>
                        <a:spPr bwMode="auto">
                          <a:xfrm>
                            <a:off x="179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5" name="Rectangle 569"/>
                          <a:cNvSpPr>
                            <a:spLocks noChangeArrowheads="1"/>
                          </a:cNvSpPr>
                        </a:nvSpPr>
                        <a:spPr bwMode="auto">
                          <a:xfrm>
                            <a:off x="182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6" name="Rectangle 570"/>
                          <a:cNvSpPr>
                            <a:spLocks noChangeArrowheads="1"/>
                          </a:cNvSpPr>
                        </a:nvSpPr>
                        <a:spPr bwMode="auto">
                          <a:xfrm>
                            <a:off x="185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7" name="Rectangle 571"/>
                          <a:cNvSpPr>
                            <a:spLocks noChangeArrowheads="1"/>
                          </a:cNvSpPr>
                        </a:nvSpPr>
                        <a:spPr bwMode="auto">
                          <a:xfrm>
                            <a:off x="188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8" name="Rectangle 572"/>
                          <a:cNvSpPr>
                            <a:spLocks noChangeArrowheads="1"/>
                          </a:cNvSpPr>
                        </a:nvSpPr>
                        <a:spPr bwMode="auto">
                          <a:xfrm>
                            <a:off x="191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49" name="Rectangle 573"/>
                          <a:cNvSpPr>
                            <a:spLocks noChangeArrowheads="1"/>
                          </a:cNvSpPr>
                        </a:nvSpPr>
                        <a:spPr bwMode="auto">
                          <a:xfrm>
                            <a:off x="194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0" name="Rectangle 574"/>
                          <a:cNvSpPr>
                            <a:spLocks noChangeArrowheads="1"/>
                          </a:cNvSpPr>
                        </a:nvSpPr>
                        <a:spPr bwMode="auto">
                          <a:xfrm>
                            <a:off x="197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1" name="Rectangle 575"/>
                          <a:cNvSpPr>
                            <a:spLocks noChangeArrowheads="1"/>
                          </a:cNvSpPr>
                        </a:nvSpPr>
                        <a:spPr bwMode="auto">
                          <a:xfrm>
                            <a:off x="200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2" name="Rectangle 576"/>
                          <a:cNvSpPr>
                            <a:spLocks noChangeArrowheads="1"/>
                          </a:cNvSpPr>
                        </a:nvSpPr>
                        <a:spPr bwMode="auto">
                          <a:xfrm>
                            <a:off x="203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3" name="Rectangle 577"/>
                          <a:cNvSpPr>
                            <a:spLocks noChangeArrowheads="1"/>
                          </a:cNvSpPr>
                        </a:nvSpPr>
                        <a:spPr bwMode="auto">
                          <a:xfrm>
                            <a:off x="206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4" name="Rectangle 578"/>
                          <a:cNvSpPr>
                            <a:spLocks noChangeArrowheads="1"/>
                          </a:cNvSpPr>
                        </a:nvSpPr>
                        <a:spPr bwMode="auto">
                          <a:xfrm>
                            <a:off x="2093"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5" name="Rectangle 579"/>
                          <a:cNvSpPr>
                            <a:spLocks noChangeArrowheads="1"/>
                          </a:cNvSpPr>
                        </a:nvSpPr>
                        <a:spPr bwMode="auto">
                          <a:xfrm>
                            <a:off x="212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6" name="Rectangle 580"/>
                          <a:cNvSpPr>
                            <a:spLocks noChangeArrowheads="1"/>
                          </a:cNvSpPr>
                        </a:nvSpPr>
                        <a:spPr bwMode="auto">
                          <a:xfrm>
                            <a:off x="215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7" name="Rectangle 581"/>
                          <a:cNvSpPr>
                            <a:spLocks noChangeArrowheads="1"/>
                          </a:cNvSpPr>
                        </a:nvSpPr>
                        <a:spPr bwMode="auto">
                          <a:xfrm>
                            <a:off x="218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8" name="Rectangle 582"/>
                          <a:cNvSpPr>
                            <a:spLocks noChangeArrowheads="1"/>
                          </a:cNvSpPr>
                        </a:nvSpPr>
                        <a:spPr bwMode="auto">
                          <a:xfrm>
                            <a:off x="221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59" name="Rectangle 583"/>
                          <a:cNvSpPr>
                            <a:spLocks noChangeArrowheads="1"/>
                          </a:cNvSpPr>
                        </a:nvSpPr>
                        <a:spPr bwMode="auto">
                          <a:xfrm>
                            <a:off x="224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0" name="Rectangle 584"/>
                          <a:cNvSpPr>
                            <a:spLocks noChangeArrowheads="1"/>
                          </a:cNvSpPr>
                        </a:nvSpPr>
                        <a:spPr bwMode="auto">
                          <a:xfrm>
                            <a:off x="227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1" name="Rectangle 585"/>
                          <a:cNvSpPr>
                            <a:spLocks noChangeArrowheads="1"/>
                          </a:cNvSpPr>
                        </a:nvSpPr>
                        <a:spPr bwMode="auto">
                          <a:xfrm>
                            <a:off x="230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2" name="Rectangle 586"/>
                          <a:cNvSpPr>
                            <a:spLocks noChangeArrowheads="1"/>
                          </a:cNvSpPr>
                        </a:nvSpPr>
                        <a:spPr bwMode="auto">
                          <a:xfrm>
                            <a:off x="233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3" name="Rectangle 587"/>
                          <a:cNvSpPr>
                            <a:spLocks noChangeArrowheads="1"/>
                          </a:cNvSpPr>
                        </a:nvSpPr>
                        <a:spPr bwMode="auto">
                          <a:xfrm>
                            <a:off x="236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4" name="Rectangle 588"/>
                          <a:cNvSpPr>
                            <a:spLocks noChangeArrowheads="1"/>
                          </a:cNvSpPr>
                        </a:nvSpPr>
                        <a:spPr bwMode="auto">
                          <a:xfrm>
                            <a:off x="239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5" name="Rectangle 589"/>
                          <a:cNvSpPr>
                            <a:spLocks noChangeArrowheads="1"/>
                          </a:cNvSpPr>
                        </a:nvSpPr>
                        <a:spPr bwMode="auto">
                          <a:xfrm>
                            <a:off x="2421"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6" name="Rectangle 590"/>
                          <a:cNvSpPr>
                            <a:spLocks noChangeArrowheads="1"/>
                          </a:cNvSpPr>
                        </a:nvSpPr>
                        <a:spPr bwMode="auto">
                          <a:xfrm>
                            <a:off x="245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7" name="Rectangle 591"/>
                          <a:cNvSpPr>
                            <a:spLocks noChangeArrowheads="1"/>
                          </a:cNvSpPr>
                        </a:nvSpPr>
                        <a:spPr bwMode="auto">
                          <a:xfrm>
                            <a:off x="248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8" name="Rectangle 592"/>
                          <a:cNvSpPr>
                            <a:spLocks noChangeArrowheads="1"/>
                          </a:cNvSpPr>
                        </a:nvSpPr>
                        <a:spPr bwMode="auto">
                          <a:xfrm>
                            <a:off x="251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69" name="Rectangle 593"/>
                          <a:cNvSpPr>
                            <a:spLocks noChangeArrowheads="1"/>
                          </a:cNvSpPr>
                        </a:nvSpPr>
                        <a:spPr bwMode="auto">
                          <a:xfrm>
                            <a:off x="254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0" name="Rectangle 594"/>
                          <a:cNvSpPr>
                            <a:spLocks noChangeArrowheads="1"/>
                          </a:cNvSpPr>
                        </a:nvSpPr>
                        <a:spPr bwMode="auto">
                          <a:xfrm>
                            <a:off x="257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1" name="Rectangle 595"/>
                          <a:cNvSpPr>
                            <a:spLocks noChangeArrowheads="1"/>
                          </a:cNvSpPr>
                        </a:nvSpPr>
                        <a:spPr bwMode="auto">
                          <a:xfrm>
                            <a:off x="259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2" name="Rectangle 596"/>
                          <a:cNvSpPr>
                            <a:spLocks noChangeArrowheads="1"/>
                          </a:cNvSpPr>
                        </a:nvSpPr>
                        <a:spPr bwMode="auto">
                          <a:xfrm>
                            <a:off x="262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3" name="Rectangle 597"/>
                          <a:cNvSpPr>
                            <a:spLocks noChangeArrowheads="1"/>
                          </a:cNvSpPr>
                        </a:nvSpPr>
                        <a:spPr bwMode="auto">
                          <a:xfrm>
                            <a:off x="265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4" name="Rectangle 598"/>
                          <a:cNvSpPr>
                            <a:spLocks noChangeArrowheads="1"/>
                          </a:cNvSpPr>
                        </a:nvSpPr>
                        <a:spPr bwMode="auto">
                          <a:xfrm>
                            <a:off x="268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5" name="Rectangle 599"/>
                          <a:cNvSpPr>
                            <a:spLocks noChangeArrowheads="1"/>
                          </a:cNvSpPr>
                        </a:nvSpPr>
                        <a:spPr bwMode="auto">
                          <a:xfrm>
                            <a:off x="271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6" name="Rectangle 600"/>
                          <a:cNvSpPr>
                            <a:spLocks noChangeArrowheads="1"/>
                          </a:cNvSpPr>
                        </a:nvSpPr>
                        <a:spPr bwMode="auto">
                          <a:xfrm>
                            <a:off x="2749"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7" name="Rectangle 601"/>
                          <a:cNvSpPr>
                            <a:spLocks noChangeArrowheads="1"/>
                          </a:cNvSpPr>
                        </a:nvSpPr>
                        <a:spPr bwMode="auto">
                          <a:xfrm>
                            <a:off x="277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8" name="Rectangle 602"/>
                          <a:cNvSpPr>
                            <a:spLocks noChangeArrowheads="1"/>
                          </a:cNvSpPr>
                        </a:nvSpPr>
                        <a:spPr bwMode="auto">
                          <a:xfrm>
                            <a:off x="280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79" name="Rectangle 603"/>
                          <a:cNvSpPr>
                            <a:spLocks noChangeArrowheads="1"/>
                          </a:cNvSpPr>
                        </a:nvSpPr>
                        <a:spPr bwMode="auto">
                          <a:xfrm>
                            <a:off x="283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0" name="Rectangle 604"/>
                          <a:cNvSpPr>
                            <a:spLocks noChangeArrowheads="1"/>
                          </a:cNvSpPr>
                        </a:nvSpPr>
                        <a:spPr bwMode="auto">
                          <a:xfrm>
                            <a:off x="286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1" name="Rectangle 605"/>
                          <a:cNvSpPr>
                            <a:spLocks noChangeArrowheads="1"/>
                          </a:cNvSpPr>
                        </a:nvSpPr>
                        <a:spPr bwMode="auto">
                          <a:xfrm>
                            <a:off x="289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2" name="Rectangle 606"/>
                          <a:cNvSpPr>
                            <a:spLocks noChangeArrowheads="1"/>
                          </a:cNvSpPr>
                        </a:nvSpPr>
                        <a:spPr bwMode="auto">
                          <a:xfrm>
                            <a:off x="292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3" name="Rectangle 607"/>
                          <a:cNvSpPr>
                            <a:spLocks noChangeArrowheads="1"/>
                          </a:cNvSpPr>
                        </a:nvSpPr>
                        <a:spPr bwMode="auto">
                          <a:xfrm>
                            <a:off x="295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4" name="Rectangle 608"/>
                          <a:cNvSpPr>
                            <a:spLocks noChangeArrowheads="1"/>
                          </a:cNvSpPr>
                        </a:nvSpPr>
                        <a:spPr bwMode="auto">
                          <a:xfrm>
                            <a:off x="298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5" name="Rectangle 609"/>
                          <a:cNvSpPr>
                            <a:spLocks noChangeArrowheads="1"/>
                          </a:cNvSpPr>
                        </a:nvSpPr>
                        <a:spPr bwMode="auto">
                          <a:xfrm>
                            <a:off x="301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6" name="Rectangle 610"/>
                          <a:cNvSpPr>
                            <a:spLocks noChangeArrowheads="1"/>
                          </a:cNvSpPr>
                        </a:nvSpPr>
                        <a:spPr bwMode="auto">
                          <a:xfrm>
                            <a:off x="304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grpSp>
                      <a:nvGrpSpPr>
                        <a:cNvPr id="7" name="Group 812"/>
                        <a:cNvGrpSpPr>
                          <a:grpSpLocks/>
                        </a:cNvGrpSpPr>
                      </a:nvGrpSpPr>
                      <a:grpSpPr bwMode="auto">
                        <a:xfrm>
                          <a:off x="1189" y="1489"/>
                          <a:ext cx="3479" cy="2326"/>
                          <a:chOff x="1189" y="1489"/>
                          <a:chExt cx="3479" cy="2326"/>
                        </a:xfrm>
                      </a:grpSpPr>
                      <a:sp>
                        <a:nvSpPr>
                          <a:cNvPr id="460388" name="Rectangle 612"/>
                          <a:cNvSpPr>
                            <a:spLocks noChangeArrowheads="1"/>
                          </a:cNvSpPr>
                        </a:nvSpPr>
                        <a:spPr bwMode="auto">
                          <a:xfrm>
                            <a:off x="307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89" name="Rectangle 613"/>
                          <a:cNvSpPr>
                            <a:spLocks noChangeArrowheads="1"/>
                          </a:cNvSpPr>
                        </a:nvSpPr>
                        <a:spPr bwMode="auto">
                          <a:xfrm>
                            <a:off x="310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0" name="Rectangle 614"/>
                          <a:cNvSpPr>
                            <a:spLocks noChangeArrowheads="1"/>
                          </a:cNvSpPr>
                        </a:nvSpPr>
                        <a:spPr bwMode="auto">
                          <a:xfrm>
                            <a:off x="313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1" name="Rectangle 615"/>
                          <a:cNvSpPr>
                            <a:spLocks noChangeArrowheads="1"/>
                          </a:cNvSpPr>
                        </a:nvSpPr>
                        <a:spPr bwMode="auto">
                          <a:xfrm>
                            <a:off x="316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2" name="Rectangle 616"/>
                          <a:cNvSpPr>
                            <a:spLocks noChangeArrowheads="1"/>
                          </a:cNvSpPr>
                        </a:nvSpPr>
                        <a:spPr bwMode="auto">
                          <a:xfrm>
                            <a:off x="319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3" name="Rectangle 617"/>
                          <a:cNvSpPr>
                            <a:spLocks noChangeArrowheads="1"/>
                          </a:cNvSpPr>
                        </a:nvSpPr>
                        <a:spPr bwMode="auto">
                          <a:xfrm>
                            <a:off x="3226"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4" name="Rectangle 618"/>
                          <a:cNvSpPr>
                            <a:spLocks noChangeArrowheads="1"/>
                          </a:cNvSpPr>
                        </a:nvSpPr>
                        <a:spPr bwMode="auto">
                          <a:xfrm>
                            <a:off x="325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5" name="Rectangle 619"/>
                          <a:cNvSpPr>
                            <a:spLocks noChangeArrowheads="1"/>
                          </a:cNvSpPr>
                        </a:nvSpPr>
                        <a:spPr bwMode="auto">
                          <a:xfrm>
                            <a:off x="328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6" name="Rectangle 620"/>
                          <a:cNvSpPr>
                            <a:spLocks noChangeArrowheads="1"/>
                          </a:cNvSpPr>
                        </a:nvSpPr>
                        <a:spPr bwMode="auto">
                          <a:xfrm>
                            <a:off x="331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7" name="Rectangle 621"/>
                          <a:cNvSpPr>
                            <a:spLocks noChangeArrowheads="1"/>
                          </a:cNvSpPr>
                        </a:nvSpPr>
                        <a:spPr bwMode="auto">
                          <a:xfrm>
                            <a:off x="334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8" name="Rectangle 622"/>
                          <a:cNvSpPr>
                            <a:spLocks noChangeArrowheads="1"/>
                          </a:cNvSpPr>
                        </a:nvSpPr>
                        <a:spPr bwMode="auto">
                          <a:xfrm>
                            <a:off x="337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399" name="Rectangle 623"/>
                          <a:cNvSpPr>
                            <a:spLocks noChangeArrowheads="1"/>
                          </a:cNvSpPr>
                        </a:nvSpPr>
                        <a:spPr bwMode="auto">
                          <a:xfrm>
                            <a:off x="3405"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0" name="Rectangle 624"/>
                          <a:cNvSpPr>
                            <a:spLocks noChangeArrowheads="1"/>
                          </a:cNvSpPr>
                        </a:nvSpPr>
                        <a:spPr bwMode="auto">
                          <a:xfrm>
                            <a:off x="343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1" name="Rectangle 625"/>
                          <a:cNvSpPr>
                            <a:spLocks noChangeArrowheads="1"/>
                          </a:cNvSpPr>
                        </a:nvSpPr>
                        <a:spPr bwMode="auto">
                          <a:xfrm>
                            <a:off x="346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2" name="Rectangle 626"/>
                          <a:cNvSpPr>
                            <a:spLocks noChangeArrowheads="1"/>
                          </a:cNvSpPr>
                        </a:nvSpPr>
                        <a:spPr bwMode="auto">
                          <a:xfrm>
                            <a:off x="349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3" name="Rectangle 627"/>
                          <a:cNvSpPr>
                            <a:spLocks noChangeArrowheads="1"/>
                          </a:cNvSpPr>
                        </a:nvSpPr>
                        <a:spPr bwMode="auto">
                          <a:xfrm>
                            <a:off x="352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4" name="Rectangle 628"/>
                          <a:cNvSpPr>
                            <a:spLocks noChangeArrowheads="1"/>
                          </a:cNvSpPr>
                        </a:nvSpPr>
                        <a:spPr bwMode="auto">
                          <a:xfrm>
                            <a:off x="3554"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5" name="Rectangle 629"/>
                          <a:cNvSpPr>
                            <a:spLocks noChangeArrowheads="1"/>
                          </a:cNvSpPr>
                        </a:nvSpPr>
                        <a:spPr bwMode="auto">
                          <a:xfrm>
                            <a:off x="358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6" name="Rectangle 630"/>
                          <a:cNvSpPr>
                            <a:spLocks noChangeArrowheads="1"/>
                          </a:cNvSpPr>
                        </a:nvSpPr>
                        <a:spPr bwMode="auto">
                          <a:xfrm>
                            <a:off x="361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7" name="Rectangle 631"/>
                          <a:cNvSpPr>
                            <a:spLocks noChangeArrowheads="1"/>
                          </a:cNvSpPr>
                        </a:nvSpPr>
                        <a:spPr bwMode="auto">
                          <a:xfrm>
                            <a:off x="364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8" name="Rectangle 632"/>
                          <a:cNvSpPr>
                            <a:spLocks noChangeArrowheads="1"/>
                          </a:cNvSpPr>
                        </a:nvSpPr>
                        <a:spPr bwMode="auto">
                          <a:xfrm>
                            <a:off x="367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09" name="Rectangle 633"/>
                          <a:cNvSpPr>
                            <a:spLocks noChangeArrowheads="1"/>
                          </a:cNvSpPr>
                        </a:nvSpPr>
                        <a:spPr bwMode="auto">
                          <a:xfrm>
                            <a:off x="370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0" name="Rectangle 634"/>
                          <a:cNvSpPr>
                            <a:spLocks noChangeArrowheads="1"/>
                          </a:cNvSpPr>
                        </a:nvSpPr>
                        <a:spPr bwMode="auto">
                          <a:xfrm>
                            <a:off x="3733"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1" name="Rectangle 635"/>
                          <a:cNvSpPr>
                            <a:spLocks noChangeArrowheads="1"/>
                          </a:cNvSpPr>
                        </a:nvSpPr>
                        <a:spPr bwMode="auto">
                          <a:xfrm>
                            <a:off x="376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2" name="Rectangle 636"/>
                          <a:cNvSpPr>
                            <a:spLocks noChangeArrowheads="1"/>
                          </a:cNvSpPr>
                        </a:nvSpPr>
                        <a:spPr bwMode="auto">
                          <a:xfrm>
                            <a:off x="379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3" name="Rectangle 637"/>
                          <a:cNvSpPr>
                            <a:spLocks noChangeArrowheads="1"/>
                          </a:cNvSpPr>
                        </a:nvSpPr>
                        <a:spPr bwMode="auto">
                          <a:xfrm>
                            <a:off x="382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4" name="Rectangle 638"/>
                          <a:cNvSpPr>
                            <a:spLocks noChangeArrowheads="1"/>
                          </a:cNvSpPr>
                        </a:nvSpPr>
                        <a:spPr bwMode="auto">
                          <a:xfrm>
                            <a:off x="385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5" name="Rectangle 639"/>
                          <a:cNvSpPr>
                            <a:spLocks noChangeArrowheads="1"/>
                          </a:cNvSpPr>
                        </a:nvSpPr>
                        <a:spPr bwMode="auto">
                          <a:xfrm>
                            <a:off x="3882"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6" name="Rectangle 640"/>
                          <a:cNvSpPr>
                            <a:spLocks noChangeArrowheads="1"/>
                          </a:cNvSpPr>
                        </a:nvSpPr>
                        <a:spPr bwMode="auto">
                          <a:xfrm>
                            <a:off x="391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7" name="Rectangle 641"/>
                          <a:cNvSpPr>
                            <a:spLocks noChangeArrowheads="1"/>
                          </a:cNvSpPr>
                        </a:nvSpPr>
                        <a:spPr bwMode="auto">
                          <a:xfrm>
                            <a:off x="394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8" name="Rectangle 642"/>
                          <a:cNvSpPr>
                            <a:spLocks noChangeArrowheads="1"/>
                          </a:cNvSpPr>
                        </a:nvSpPr>
                        <a:spPr bwMode="auto">
                          <a:xfrm>
                            <a:off x="397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19" name="Rectangle 643"/>
                          <a:cNvSpPr>
                            <a:spLocks noChangeArrowheads="1"/>
                          </a:cNvSpPr>
                        </a:nvSpPr>
                        <a:spPr bwMode="auto">
                          <a:xfrm>
                            <a:off x="400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0" name="Rectangle 644"/>
                          <a:cNvSpPr>
                            <a:spLocks noChangeArrowheads="1"/>
                          </a:cNvSpPr>
                        </a:nvSpPr>
                        <a:spPr bwMode="auto">
                          <a:xfrm>
                            <a:off x="403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1" name="Rectangle 645"/>
                          <a:cNvSpPr>
                            <a:spLocks noChangeArrowheads="1"/>
                          </a:cNvSpPr>
                        </a:nvSpPr>
                        <a:spPr bwMode="auto">
                          <a:xfrm>
                            <a:off x="4061"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2" name="Rectangle 646"/>
                          <a:cNvSpPr>
                            <a:spLocks noChangeArrowheads="1"/>
                          </a:cNvSpPr>
                        </a:nvSpPr>
                        <a:spPr bwMode="auto">
                          <a:xfrm>
                            <a:off x="409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3" name="Rectangle 647"/>
                          <a:cNvSpPr>
                            <a:spLocks noChangeArrowheads="1"/>
                          </a:cNvSpPr>
                        </a:nvSpPr>
                        <a:spPr bwMode="auto">
                          <a:xfrm>
                            <a:off x="412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4" name="Rectangle 648"/>
                          <a:cNvSpPr>
                            <a:spLocks noChangeArrowheads="1"/>
                          </a:cNvSpPr>
                        </a:nvSpPr>
                        <a:spPr bwMode="auto">
                          <a:xfrm>
                            <a:off x="415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5" name="Rectangle 649"/>
                          <a:cNvSpPr>
                            <a:spLocks noChangeArrowheads="1"/>
                          </a:cNvSpPr>
                        </a:nvSpPr>
                        <a:spPr bwMode="auto">
                          <a:xfrm>
                            <a:off x="418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6" name="Rectangle 650"/>
                          <a:cNvSpPr>
                            <a:spLocks noChangeArrowheads="1"/>
                          </a:cNvSpPr>
                        </a:nvSpPr>
                        <a:spPr bwMode="auto">
                          <a:xfrm>
                            <a:off x="4210"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7" name="Rectangle 651"/>
                          <a:cNvSpPr>
                            <a:spLocks noChangeArrowheads="1"/>
                          </a:cNvSpPr>
                        </a:nvSpPr>
                        <a:spPr bwMode="auto">
                          <a:xfrm>
                            <a:off x="4240"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8" name="Rectangle 652"/>
                          <a:cNvSpPr>
                            <a:spLocks noChangeArrowheads="1"/>
                          </a:cNvSpPr>
                        </a:nvSpPr>
                        <a:spPr bwMode="auto">
                          <a:xfrm>
                            <a:off x="426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29" name="Rectangle 653"/>
                          <a:cNvSpPr>
                            <a:spLocks noChangeArrowheads="1"/>
                          </a:cNvSpPr>
                        </a:nvSpPr>
                        <a:spPr bwMode="auto">
                          <a:xfrm>
                            <a:off x="429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0" name="Rectangle 654"/>
                          <a:cNvSpPr>
                            <a:spLocks noChangeArrowheads="1"/>
                          </a:cNvSpPr>
                        </a:nvSpPr>
                        <a:spPr bwMode="auto">
                          <a:xfrm>
                            <a:off x="432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1" name="Rectangle 655"/>
                          <a:cNvSpPr>
                            <a:spLocks noChangeArrowheads="1"/>
                          </a:cNvSpPr>
                        </a:nvSpPr>
                        <a:spPr bwMode="auto">
                          <a:xfrm>
                            <a:off x="435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2" name="Rectangle 656"/>
                          <a:cNvSpPr>
                            <a:spLocks noChangeArrowheads="1"/>
                          </a:cNvSpPr>
                        </a:nvSpPr>
                        <a:spPr bwMode="auto">
                          <a:xfrm>
                            <a:off x="4389"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3" name="Rectangle 657"/>
                          <a:cNvSpPr>
                            <a:spLocks noChangeArrowheads="1"/>
                          </a:cNvSpPr>
                        </a:nvSpPr>
                        <a:spPr bwMode="auto">
                          <a:xfrm>
                            <a:off x="441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4" name="Rectangle 658"/>
                          <a:cNvSpPr>
                            <a:spLocks noChangeArrowheads="1"/>
                          </a:cNvSpPr>
                        </a:nvSpPr>
                        <a:spPr bwMode="auto">
                          <a:xfrm>
                            <a:off x="444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5" name="Rectangle 659"/>
                          <a:cNvSpPr>
                            <a:spLocks noChangeArrowheads="1"/>
                          </a:cNvSpPr>
                        </a:nvSpPr>
                        <a:spPr bwMode="auto">
                          <a:xfrm>
                            <a:off x="447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6" name="Rectangle 660"/>
                          <a:cNvSpPr>
                            <a:spLocks noChangeArrowheads="1"/>
                          </a:cNvSpPr>
                        </a:nvSpPr>
                        <a:spPr bwMode="auto">
                          <a:xfrm>
                            <a:off x="450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7" name="Rectangle 661"/>
                          <a:cNvSpPr>
                            <a:spLocks noChangeArrowheads="1"/>
                          </a:cNvSpPr>
                        </a:nvSpPr>
                        <a:spPr bwMode="auto">
                          <a:xfrm>
                            <a:off x="4538"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8" name="Rectangle 662"/>
                          <a:cNvSpPr>
                            <a:spLocks noChangeArrowheads="1"/>
                          </a:cNvSpPr>
                        </a:nvSpPr>
                        <a:spPr bwMode="auto">
                          <a:xfrm>
                            <a:off x="4568" y="184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39" name="Rectangle 663"/>
                          <a:cNvSpPr>
                            <a:spLocks noChangeArrowheads="1"/>
                          </a:cNvSpPr>
                        </a:nvSpPr>
                        <a:spPr bwMode="auto">
                          <a:xfrm>
                            <a:off x="459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0" name="Rectangle 664"/>
                          <a:cNvSpPr>
                            <a:spLocks noChangeArrowheads="1"/>
                          </a:cNvSpPr>
                        </a:nvSpPr>
                        <a:spPr bwMode="auto">
                          <a:xfrm>
                            <a:off x="462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1" name="Rectangle 665"/>
                          <a:cNvSpPr>
                            <a:spLocks noChangeArrowheads="1"/>
                          </a:cNvSpPr>
                        </a:nvSpPr>
                        <a:spPr bwMode="auto">
                          <a:xfrm>
                            <a:off x="4657" y="184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2" name="Rectangle 666"/>
                          <a:cNvSpPr>
                            <a:spLocks noChangeArrowheads="1"/>
                          </a:cNvSpPr>
                        </a:nvSpPr>
                        <a:spPr bwMode="auto">
                          <a:xfrm>
                            <a:off x="1437"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3" name="Rectangle 667"/>
                          <a:cNvSpPr>
                            <a:spLocks noChangeArrowheads="1"/>
                          </a:cNvSpPr>
                        </a:nvSpPr>
                        <a:spPr bwMode="auto">
                          <a:xfrm>
                            <a:off x="146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4" name="Rectangle 668"/>
                          <a:cNvSpPr>
                            <a:spLocks noChangeArrowheads="1"/>
                          </a:cNvSpPr>
                        </a:nvSpPr>
                        <a:spPr bwMode="auto">
                          <a:xfrm>
                            <a:off x="149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5" name="Rectangle 669"/>
                          <a:cNvSpPr>
                            <a:spLocks noChangeArrowheads="1"/>
                          </a:cNvSpPr>
                        </a:nvSpPr>
                        <a:spPr bwMode="auto">
                          <a:xfrm>
                            <a:off x="152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6" name="Rectangle 670"/>
                          <a:cNvSpPr>
                            <a:spLocks noChangeArrowheads="1"/>
                          </a:cNvSpPr>
                        </a:nvSpPr>
                        <a:spPr bwMode="auto">
                          <a:xfrm>
                            <a:off x="155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7" name="Rectangle 671"/>
                          <a:cNvSpPr>
                            <a:spLocks noChangeArrowheads="1"/>
                          </a:cNvSpPr>
                        </a:nvSpPr>
                        <a:spPr bwMode="auto">
                          <a:xfrm>
                            <a:off x="158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8" name="Rectangle 672"/>
                          <a:cNvSpPr>
                            <a:spLocks noChangeArrowheads="1"/>
                          </a:cNvSpPr>
                        </a:nvSpPr>
                        <a:spPr bwMode="auto">
                          <a:xfrm>
                            <a:off x="161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49" name="Rectangle 673"/>
                          <a:cNvSpPr>
                            <a:spLocks noChangeArrowheads="1"/>
                          </a:cNvSpPr>
                        </a:nvSpPr>
                        <a:spPr bwMode="auto">
                          <a:xfrm>
                            <a:off x="164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0" name="Rectangle 674"/>
                          <a:cNvSpPr>
                            <a:spLocks noChangeArrowheads="1"/>
                          </a:cNvSpPr>
                        </a:nvSpPr>
                        <a:spPr bwMode="auto">
                          <a:xfrm>
                            <a:off x="167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1" name="Rectangle 675"/>
                          <a:cNvSpPr>
                            <a:spLocks noChangeArrowheads="1"/>
                          </a:cNvSpPr>
                        </a:nvSpPr>
                        <a:spPr bwMode="auto">
                          <a:xfrm>
                            <a:off x="170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2" name="Rectangle 676"/>
                          <a:cNvSpPr>
                            <a:spLocks noChangeArrowheads="1"/>
                          </a:cNvSpPr>
                        </a:nvSpPr>
                        <a:spPr bwMode="auto">
                          <a:xfrm>
                            <a:off x="173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3" name="Rectangle 677"/>
                          <a:cNvSpPr>
                            <a:spLocks noChangeArrowheads="1"/>
                          </a:cNvSpPr>
                        </a:nvSpPr>
                        <a:spPr bwMode="auto">
                          <a:xfrm>
                            <a:off x="1765"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4" name="Rectangle 678"/>
                          <a:cNvSpPr>
                            <a:spLocks noChangeArrowheads="1"/>
                          </a:cNvSpPr>
                        </a:nvSpPr>
                        <a:spPr bwMode="auto">
                          <a:xfrm>
                            <a:off x="179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5" name="Rectangle 679"/>
                          <a:cNvSpPr>
                            <a:spLocks noChangeArrowheads="1"/>
                          </a:cNvSpPr>
                        </a:nvSpPr>
                        <a:spPr bwMode="auto">
                          <a:xfrm>
                            <a:off x="182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6" name="Rectangle 680"/>
                          <a:cNvSpPr>
                            <a:spLocks noChangeArrowheads="1"/>
                          </a:cNvSpPr>
                        </a:nvSpPr>
                        <a:spPr bwMode="auto">
                          <a:xfrm>
                            <a:off x="185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7" name="Rectangle 681"/>
                          <a:cNvSpPr>
                            <a:spLocks noChangeArrowheads="1"/>
                          </a:cNvSpPr>
                        </a:nvSpPr>
                        <a:spPr bwMode="auto">
                          <a:xfrm>
                            <a:off x="188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8" name="Rectangle 682"/>
                          <a:cNvSpPr>
                            <a:spLocks noChangeArrowheads="1"/>
                          </a:cNvSpPr>
                        </a:nvSpPr>
                        <a:spPr bwMode="auto">
                          <a:xfrm>
                            <a:off x="191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59" name="Rectangle 683"/>
                          <a:cNvSpPr>
                            <a:spLocks noChangeArrowheads="1"/>
                          </a:cNvSpPr>
                        </a:nvSpPr>
                        <a:spPr bwMode="auto">
                          <a:xfrm>
                            <a:off x="194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0" name="Rectangle 684"/>
                          <a:cNvSpPr>
                            <a:spLocks noChangeArrowheads="1"/>
                          </a:cNvSpPr>
                        </a:nvSpPr>
                        <a:spPr bwMode="auto">
                          <a:xfrm>
                            <a:off x="197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1" name="Rectangle 685"/>
                          <a:cNvSpPr>
                            <a:spLocks noChangeArrowheads="1"/>
                          </a:cNvSpPr>
                        </a:nvSpPr>
                        <a:spPr bwMode="auto">
                          <a:xfrm>
                            <a:off x="200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2" name="Rectangle 686"/>
                          <a:cNvSpPr>
                            <a:spLocks noChangeArrowheads="1"/>
                          </a:cNvSpPr>
                        </a:nvSpPr>
                        <a:spPr bwMode="auto">
                          <a:xfrm>
                            <a:off x="203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3" name="Rectangle 687"/>
                          <a:cNvSpPr>
                            <a:spLocks noChangeArrowheads="1"/>
                          </a:cNvSpPr>
                        </a:nvSpPr>
                        <a:spPr bwMode="auto">
                          <a:xfrm>
                            <a:off x="206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4" name="Rectangle 688"/>
                          <a:cNvSpPr>
                            <a:spLocks noChangeArrowheads="1"/>
                          </a:cNvSpPr>
                        </a:nvSpPr>
                        <a:spPr bwMode="auto">
                          <a:xfrm>
                            <a:off x="2093"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5" name="Rectangle 689"/>
                          <a:cNvSpPr>
                            <a:spLocks noChangeArrowheads="1"/>
                          </a:cNvSpPr>
                        </a:nvSpPr>
                        <a:spPr bwMode="auto">
                          <a:xfrm>
                            <a:off x="212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6" name="Rectangle 690"/>
                          <a:cNvSpPr>
                            <a:spLocks noChangeArrowheads="1"/>
                          </a:cNvSpPr>
                        </a:nvSpPr>
                        <a:spPr bwMode="auto">
                          <a:xfrm>
                            <a:off x="215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7" name="Rectangle 691"/>
                          <a:cNvSpPr>
                            <a:spLocks noChangeArrowheads="1"/>
                          </a:cNvSpPr>
                        </a:nvSpPr>
                        <a:spPr bwMode="auto">
                          <a:xfrm>
                            <a:off x="218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8" name="Rectangle 692"/>
                          <a:cNvSpPr>
                            <a:spLocks noChangeArrowheads="1"/>
                          </a:cNvSpPr>
                        </a:nvSpPr>
                        <a:spPr bwMode="auto">
                          <a:xfrm>
                            <a:off x="221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69" name="Rectangle 693"/>
                          <a:cNvSpPr>
                            <a:spLocks noChangeArrowheads="1"/>
                          </a:cNvSpPr>
                        </a:nvSpPr>
                        <a:spPr bwMode="auto">
                          <a:xfrm>
                            <a:off x="224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0" name="Rectangle 694"/>
                          <a:cNvSpPr>
                            <a:spLocks noChangeArrowheads="1"/>
                          </a:cNvSpPr>
                        </a:nvSpPr>
                        <a:spPr bwMode="auto">
                          <a:xfrm>
                            <a:off x="227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1" name="Rectangle 695"/>
                          <a:cNvSpPr>
                            <a:spLocks noChangeArrowheads="1"/>
                          </a:cNvSpPr>
                        </a:nvSpPr>
                        <a:spPr bwMode="auto">
                          <a:xfrm>
                            <a:off x="230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2" name="Rectangle 696"/>
                          <a:cNvSpPr>
                            <a:spLocks noChangeArrowheads="1"/>
                          </a:cNvSpPr>
                        </a:nvSpPr>
                        <a:spPr bwMode="auto">
                          <a:xfrm>
                            <a:off x="233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3" name="Rectangle 697"/>
                          <a:cNvSpPr>
                            <a:spLocks noChangeArrowheads="1"/>
                          </a:cNvSpPr>
                        </a:nvSpPr>
                        <a:spPr bwMode="auto">
                          <a:xfrm>
                            <a:off x="236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4" name="Rectangle 698"/>
                          <a:cNvSpPr>
                            <a:spLocks noChangeArrowheads="1"/>
                          </a:cNvSpPr>
                        </a:nvSpPr>
                        <a:spPr bwMode="auto">
                          <a:xfrm>
                            <a:off x="239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5" name="Rectangle 699"/>
                          <a:cNvSpPr>
                            <a:spLocks noChangeArrowheads="1"/>
                          </a:cNvSpPr>
                        </a:nvSpPr>
                        <a:spPr bwMode="auto">
                          <a:xfrm>
                            <a:off x="2421"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6" name="Rectangle 700"/>
                          <a:cNvSpPr>
                            <a:spLocks noChangeArrowheads="1"/>
                          </a:cNvSpPr>
                        </a:nvSpPr>
                        <a:spPr bwMode="auto">
                          <a:xfrm>
                            <a:off x="245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7" name="Rectangle 701"/>
                          <a:cNvSpPr>
                            <a:spLocks noChangeArrowheads="1"/>
                          </a:cNvSpPr>
                        </a:nvSpPr>
                        <a:spPr bwMode="auto">
                          <a:xfrm>
                            <a:off x="248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8" name="Rectangle 702"/>
                          <a:cNvSpPr>
                            <a:spLocks noChangeArrowheads="1"/>
                          </a:cNvSpPr>
                        </a:nvSpPr>
                        <a:spPr bwMode="auto">
                          <a:xfrm>
                            <a:off x="251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79" name="Rectangle 703"/>
                          <a:cNvSpPr>
                            <a:spLocks noChangeArrowheads="1"/>
                          </a:cNvSpPr>
                        </a:nvSpPr>
                        <a:spPr bwMode="auto">
                          <a:xfrm>
                            <a:off x="254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0" name="Rectangle 704"/>
                          <a:cNvSpPr>
                            <a:spLocks noChangeArrowheads="1"/>
                          </a:cNvSpPr>
                        </a:nvSpPr>
                        <a:spPr bwMode="auto">
                          <a:xfrm>
                            <a:off x="257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1" name="Rectangle 705"/>
                          <a:cNvSpPr>
                            <a:spLocks noChangeArrowheads="1"/>
                          </a:cNvSpPr>
                        </a:nvSpPr>
                        <a:spPr bwMode="auto">
                          <a:xfrm>
                            <a:off x="259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2" name="Rectangle 706"/>
                          <a:cNvSpPr>
                            <a:spLocks noChangeArrowheads="1"/>
                          </a:cNvSpPr>
                        </a:nvSpPr>
                        <a:spPr bwMode="auto">
                          <a:xfrm>
                            <a:off x="262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3" name="Rectangle 707"/>
                          <a:cNvSpPr>
                            <a:spLocks noChangeArrowheads="1"/>
                          </a:cNvSpPr>
                        </a:nvSpPr>
                        <a:spPr bwMode="auto">
                          <a:xfrm>
                            <a:off x="265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4" name="Rectangle 708"/>
                          <a:cNvSpPr>
                            <a:spLocks noChangeArrowheads="1"/>
                          </a:cNvSpPr>
                        </a:nvSpPr>
                        <a:spPr bwMode="auto">
                          <a:xfrm>
                            <a:off x="268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5" name="Rectangle 709"/>
                          <a:cNvSpPr>
                            <a:spLocks noChangeArrowheads="1"/>
                          </a:cNvSpPr>
                        </a:nvSpPr>
                        <a:spPr bwMode="auto">
                          <a:xfrm>
                            <a:off x="271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6" name="Rectangle 710"/>
                          <a:cNvSpPr>
                            <a:spLocks noChangeArrowheads="1"/>
                          </a:cNvSpPr>
                        </a:nvSpPr>
                        <a:spPr bwMode="auto">
                          <a:xfrm>
                            <a:off x="2749"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7" name="Rectangle 711"/>
                          <a:cNvSpPr>
                            <a:spLocks noChangeArrowheads="1"/>
                          </a:cNvSpPr>
                        </a:nvSpPr>
                        <a:spPr bwMode="auto">
                          <a:xfrm>
                            <a:off x="277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8" name="Rectangle 712"/>
                          <a:cNvSpPr>
                            <a:spLocks noChangeArrowheads="1"/>
                          </a:cNvSpPr>
                        </a:nvSpPr>
                        <a:spPr bwMode="auto">
                          <a:xfrm>
                            <a:off x="280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89" name="Rectangle 713"/>
                          <a:cNvSpPr>
                            <a:spLocks noChangeArrowheads="1"/>
                          </a:cNvSpPr>
                        </a:nvSpPr>
                        <a:spPr bwMode="auto">
                          <a:xfrm>
                            <a:off x="283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0" name="Rectangle 714"/>
                          <a:cNvSpPr>
                            <a:spLocks noChangeArrowheads="1"/>
                          </a:cNvSpPr>
                        </a:nvSpPr>
                        <a:spPr bwMode="auto">
                          <a:xfrm>
                            <a:off x="286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1" name="Rectangle 715"/>
                          <a:cNvSpPr>
                            <a:spLocks noChangeArrowheads="1"/>
                          </a:cNvSpPr>
                        </a:nvSpPr>
                        <a:spPr bwMode="auto">
                          <a:xfrm>
                            <a:off x="289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2" name="Rectangle 716"/>
                          <a:cNvSpPr>
                            <a:spLocks noChangeArrowheads="1"/>
                          </a:cNvSpPr>
                        </a:nvSpPr>
                        <a:spPr bwMode="auto">
                          <a:xfrm>
                            <a:off x="292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3" name="Rectangle 717"/>
                          <a:cNvSpPr>
                            <a:spLocks noChangeArrowheads="1"/>
                          </a:cNvSpPr>
                        </a:nvSpPr>
                        <a:spPr bwMode="auto">
                          <a:xfrm>
                            <a:off x="295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4" name="Rectangle 718"/>
                          <a:cNvSpPr>
                            <a:spLocks noChangeArrowheads="1"/>
                          </a:cNvSpPr>
                        </a:nvSpPr>
                        <a:spPr bwMode="auto">
                          <a:xfrm>
                            <a:off x="298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5" name="Rectangle 719"/>
                          <a:cNvSpPr>
                            <a:spLocks noChangeArrowheads="1"/>
                          </a:cNvSpPr>
                        </a:nvSpPr>
                        <a:spPr bwMode="auto">
                          <a:xfrm>
                            <a:off x="301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6" name="Rectangle 720"/>
                          <a:cNvSpPr>
                            <a:spLocks noChangeArrowheads="1"/>
                          </a:cNvSpPr>
                        </a:nvSpPr>
                        <a:spPr bwMode="auto">
                          <a:xfrm>
                            <a:off x="304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7" name="Rectangle 721"/>
                          <a:cNvSpPr>
                            <a:spLocks noChangeArrowheads="1"/>
                          </a:cNvSpPr>
                        </a:nvSpPr>
                        <a:spPr bwMode="auto">
                          <a:xfrm>
                            <a:off x="307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8" name="Rectangle 722"/>
                          <a:cNvSpPr>
                            <a:spLocks noChangeArrowheads="1"/>
                          </a:cNvSpPr>
                        </a:nvSpPr>
                        <a:spPr bwMode="auto">
                          <a:xfrm>
                            <a:off x="310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499" name="Rectangle 723"/>
                          <a:cNvSpPr>
                            <a:spLocks noChangeArrowheads="1"/>
                          </a:cNvSpPr>
                        </a:nvSpPr>
                        <a:spPr bwMode="auto">
                          <a:xfrm>
                            <a:off x="313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0" name="Rectangle 724"/>
                          <a:cNvSpPr>
                            <a:spLocks noChangeArrowheads="1"/>
                          </a:cNvSpPr>
                        </a:nvSpPr>
                        <a:spPr bwMode="auto">
                          <a:xfrm>
                            <a:off x="316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1" name="Rectangle 725"/>
                          <a:cNvSpPr>
                            <a:spLocks noChangeArrowheads="1"/>
                          </a:cNvSpPr>
                        </a:nvSpPr>
                        <a:spPr bwMode="auto">
                          <a:xfrm>
                            <a:off x="319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2" name="Rectangle 726"/>
                          <a:cNvSpPr>
                            <a:spLocks noChangeArrowheads="1"/>
                          </a:cNvSpPr>
                        </a:nvSpPr>
                        <a:spPr bwMode="auto">
                          <a:xfrm>
                            <a:off x="3226"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3" name="Rectangle 727"/>
                          <a:cNvSpPr>
                            <a:spLocks noChangeArrowheads="1"/>
                          </a:cNvSpPr>
                        </a:nvSpPr>
                        <a:spPr bwMode="auto">
                          <a:xfrm>
                            <a:off x="325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4" name="Rectangle 728"/>
                          <a:cNvSpPr>
                            <a:spLocks noChangeArrowheads="1"/>
                          </a:cNvSpPr>
                        </a:nvSpPr>
                        <a:spPr bwMode="auto">
                          <a:xfrm>
                            <a:off x="328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5" name="Rectangle 729"/>
                          <a:cNvSpPr>
                            <a:spLocks noChangeArrowheads="1"/>
                          </a:cNvSpPr>
                        </a:nvSpPr>
                        <a:spPr bwMode="auto">
                          <a:xfrm>
                            <a:off x="331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6" name="Rectangle 730"/>
                          <a:cNvSpPr>
                            <a:spLocks noChangeArrowheads="1"/>
                          </a:cNvSpPr>
                        </a:nvSpPr>
                        <a:spPr bwMode="auto">
                          <a:xfrm>
                            <a:off x="334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7" name="Rectangle 731"/>
                          <a:cNvSpPr>
                            <a:spLocks noChangeArrowheads="1"/>
                          </a:cNvSpPr>
                        </a:nvSpPr>
                        <a:spPr bwMode="auto">
                          <a:xfrm>
                            <a:off x="337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8" name="Rectangle 732"/>
                          <a:cNvSpPr>
                            <a:spLocks noChangeArrowheads="1"/>
                          </a:cNvSpPr>
                        </a:nvSpPr>
                        <a:spPr bwMode="auto">
                          <a:xfrm>
                            <a:off x="3405"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09" name="Rectangle 733"/>
                          <a:cNvSpPr>
                            <a:spLocks noChangeArrowheads="1"/>
                          </a:cNvSpPr>
                        </a:nvSpPr>
                        <a:spPr bwMode="auto">
                          <a:xfrm>
                            <a:off x="343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0" name="Rectangle 734"/>
                          <a:cNvSpPr>
                            <a:spLocks noChangeArrowheads="1"/>
                          </a:cNvSpPr>
                        </a:nvSpPr>
                        <a:spPr bwMode="auto">
                          <a:xfrm>
                            <a:off x="346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1" name="Rectangle 735"/>
                          <a:cNvSpPr>
                            <a:spLocks noChangeArrowheads="1"/>
                          </a:cNvSpPr>
                        </a:nvSpPr>
                        <a:spPr bwMode="auto">
                          <a:xfrm>
                            <a:off x="349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2" name="Rectangle 736"/>
                          <a:cNvSpPr>
                            <a:spLocks noChangeArrowheads="1"/>
                          </a:cNvSpPr>
                        </a:nvSpPr>
                        <a:spPr bwMode="auto">
                          <a:xfrm>
                            <a:off x="352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3" name="Rectangle 737"/>
                          <a:cNvSpPr>
                            <a:spLocks noChangeArrowheads="1"/>
                          </a:cNvSpPr>
                        </a:nvSpPr>
                        <a:spPr bwMode="auto">
                          <a:xfrm>
                            <a:off x="3554"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4" name="Rectangle 738"/>
                          <a:cNvSpPr>
                            <a:spLocks noChangeArrowheads="1"/>
                          </a:cNvSpPr>
                        </a:nvSpPr>
                        <a:spPr bwMode="auto">
                          <a:xfrm>
                            <a:off x="358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5" name="Rectangle 739"/>
                          <a:cNvSpPr>
                            <a:spLocks noChangeArrowheads="1"/>
                          </a:cNvSpPr>
                        </a:nvSpPr>
                        <a:spPr bwMode="auto">
                          <a:xfrm>
                            <a:off x="361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6" name="Rectangle 740"/>
                          <a:cNvSpPr>
                            <a:spLocks noChangeArrowheads="1"/>
                          </a:cNvSpPr>
                        </a:nvSpPr>
                        <a:spPr bwMode="auto">
                          <a:xfrm>
                            <a:off x="364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7" name="Rectangle 741"/>
                          <a:cNvSpPr>
                            <a:spLocks noChangeArrowheads="1"/>
                          </a:cNvSpPr>
                        </a:nvSpPr>
                        <a:spPr bwMode="auto">
                          <a:xfrm>
                            <a:off x="367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8" name="Rectangle 742"/>
                          <a:cNvSpPr>
                            <a:spLocks noChangeArrowheads="1"/>
                          </a:cNvSpPr>
                        </a:nvSpPr>
                        <a:spPr bwMode="auto">
                          <a:xfrm>
                            <a:off x="370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19" name="Rectangle 743"/>
                          <a:cNvSpPr>
                            <a:spLocks noChangeArrowheads="1"/>
                          </a:cNvSpPr>
                        </a:nvSpPr>
                        <a:spPr bwMode="auto">
                          <a:xfrm>
                            <a:off x="3733"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0" name="Rectangle 744"/>
                          <a:cNvSpPr>
                            <a:spLocks noChangeArrowheads="1"/>
                          </a:cNvSpPr>
                        </a:nvSpPr>
                        <a:spPr bwMode="auto">
                          <a:xfrm>
                            <a:off x="376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1" name="Rectangle 745"/>
                          <a:cNvSpPr>
                            <a:spLocks noChangeArrowheads="1"/>
                          </a:cNvSpPr>
                        </a:nvSpPr>
                        <a:spPr bwMode="auto">
                          <a:xfrm>
                            <a:off x="379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2" name="Rectangle 746"/>
                          <a:cNvSpPr>
                            <a:spLocks noChangeArrowheads="1"/>
                          </a:cNvSpPr>
                        </a:nvSpPr>
                        <a:spPr bwMode="auto">
                          <a:xfrm>
                            <a:off x="382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3" name="Rectangle 747"/>
                          <a:cNvSpPr>
                            <a:spLocks noChangeArrowheads="1"/>
                          </a:cNvSpPr>
                        </a:nvSpPr>
                        <a:spPr bwMode="auto">
                          <a:xfrm>
                            <a:off x="385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4" name="Rectangle 748"/>
                          <a:cNvSpPr>
                            <a:spLocks noChangeArrowheads="1"/>
                          </a:cNvSpPr>
                        </a:nvSpPr>
                        <a:spPr bwMode="auto">
                          <a:xfrm>
                            <a:off x="3882"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5" name="Rectangle 749"/>
                          <a:cNvSpPr>
                            <a:spLocks noChangeArrowheads="1"/>
                          </a:cNvSpPr>
                        </a:nvSpPr>
                        <a:spPr bwMode="auto">
                          <a:xfrm>
                            <a:off x="391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6" name="Rectangle 750"/>
                          <a:cNvSpPr>
                            <a:spLocks noChangeArrowheads="1"/>
                          </a:cNvSpPr>
                        </a:nvSpPr>
                        <a:spPr bwMode="auto">
                          <a:xfrm>
                            <a:off x="394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7" name="Rectangle 751"/>
                          <a:cNvSpPr>
                            <a:spLocks noChangeArrowheads="1"/>
                          </a:cNvSpPr>
                        </a:nvSpPr>
                        <a:spPr bwMode="auto">
                          <a:xfrm>
                            <a:off x="397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8" name="Rectangle 752"/>
                          <a:cNvSpPr>
                            <a:spLocks noChangeArrowheads="1"/>
                          </a:cNvSpPr>
                        </a:nvSpPr>
                        <a:spPr bwMode="auto">
                          <a:xfrm>
                            <a:off x="400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29" name="Rectangle 753"/>
                          <a:cNvSpPr>
                            <a:spLocks noChangeArrowheads="1"/>
                          </a:cNvSpPr>
                        </a:nvSpPr>
                        <a:spPr bwMode="auto">
                          <a:xfrm>
                            <a:off x="403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0" name="Rectangle 754"/>
                          <a:cNvSpPr>
                            <a:spLocks noChangeArrowheads="1"/>
                          </a:cNvSpPr>
                        </a:nvSpPr>
                        <a:spPr bwMode="auto">
                          <a:xfrm>
                            <a:off x="4061"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1" name="Rectangle 755"/>
                          <a:cNvSpPr>
                            <a:spLocks noChangeArrowheads="1"/>
                          </a:cNvSpPr>
                        </a:nvSpPr>
                        <a:spPr bwMode="auto">
                          <a:xfrm>
                            <a:off x="409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2" name="Rectangle 756"/>
                          <a:cNvSpPr>
                            <a:spLocks noChangeArrowheads="1"/>
                          </a:cNvSpPr>
                        </a:nvSpPr>
                        <a:spPr bwMode="auto">
                          <a:xfrm>
                            <a:off x="412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3" name="Rectangle 757"/>
                          <a:cNvSpPr>
                            <a:spLocks noChangeArrowheads="1"/>
                          </a:cNvSpPr>
                        </a:nvSpPr>
                        <a:spPr bwMode="auto">
                          <a:xfrm>
                            <a:off x="415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4" name="Rectangle 758"/>
                          <a:cNvSpPr>
                            <a:spLocks noChangeArrowheads="1"/>
                          </a:cNvSpPr>
                        </a:nvSpPr>
                        <a:spPr bwMode="auto">
                          <a:xfrm>
                            <a:off x="418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5" name="Rectangle 759"/>
                          <a:cNvSpPr>
                            <a:spLocks noChangeArrowheads="1"/>
                          </a:cNvSpPr>
                        </a:nvSpPr>
                        <a:spPr bwMode="auto">
                          <a:xfrm>
                            <a:off x="4210"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6" name="Rectangle 760"/>
                          <a:cNvSpPr>
                            <a:spLocks noChangeArrowheads="1"/>
                          </a:cNvSpPr>
                        </a:nvSpPr>
                        <a:spPr bwMode="auto">
                          <a:xfrm>
                            <a:off x="4240"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7" name="Rectangle 761"/>
                          <a:cNvSpPr>
                            <a:spLocks noChangeArrowheads="1"/>
                          </a:cNvSpPr>
                        </a:nvSpPr>
                        <a:spPr bwMode="auto">
                          <a:xfrm>
                            <a:off x="426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8" name="Rectangle 762"/>
                          <a:cNvSpPr>
                            <a:spLocks noChangeArrowheads="1"/>
                          </a:cNvSpPr>
                        </a:nvSpPr>
                        <a:spPr bwMode="auto">
                          <a:xfrm>
                            <a:off x="429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39" name="Rectangle 763"/>
                          <a:cNvSpPr>
                            <a:spLocks noChangeArrowheads="1"/>
                          </a:cNvSpPr>
                        </a:nvSpPr>
                        <a:spPr bwMode="auto">
                          <a:xfrm>
                            <a:off x="432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0" name="Rectangle 764"/>
                          <a:cNvSpPr>
                            <a:spLocks noChangeArrowheads="1"/>
                          </a:cNvSpPr>
                        </a:nvSpPr>
                        <a:spPr bwMode="auto">
                          <a:xfrm>
                            <a:off x="435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1" name="Rectangle 765"/>
                          <a:cNvSpPr>
                            <a:spLocks noChangeArrowheads="1"/>
                          </a:cNvSpPr>
                        </a:nvSpPr>
                        <a:spPr bwMode="auto">
                          <a:xfrm>
                            <a:off x="4389"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2" name="Rectangle 766"/>
                          <a:cNvSpPr>
                            <a:spLocks noChangeArrowheads="1"/>
                          </a:cNvSpPr>
                        </a:nvSpPr>
                        <a:spPr bwMode="auto">
                          <a:xfrm>
                            <a:off x="441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3" name="Rectangle 767"/>
                          <a:cNvSpPr>
                            <a:spLocks noChangeArrowheads="1"/>
                          </a:cNvSpPr>
                        </a:nvSpPr>
                        <a:spPr bwMode="auto">
                          <a:xfrm>
                            <a:off x="444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4" name="Rectangle 768"/>
                          <a:cNvSpPr>
                            <a:spLocks noChangeArrowheads="1"/>
                          </a:cNvSpPr>
                        </a:nvSpPr>
                        <a:spPr bwMode="auto">
                          <a:xfrm>
                            <a:off x="447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5" name="Rectangle 769"/>
                          <a:cNvSpPr>
                            <a:spLocks noChangeArrowheads="1"/>
                          </a:cNvSpPr>
                        </a:nvSpPr>
                        <a:spPr bwMode="auto">
                          <a:xfrm>
                            <a:off x="450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6" name="Rectangle 770"/>
                          <a:cNvSpPr>
                            <a:spLocks noChangeArrowheads="1"/>
                          </a:cNvSpPr>
                        </a:nvSpPr>
                        <a:spPr bwMode="auto">
                          <a:xfrm>
                            <a:off x="4538"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7" name="Rectangle 771"/>
                          <a:cNvSpPr>
                            <a:spLocks noChangeArrowheads="1"/>
                          </a:cNvSpPr>
                        </a:nvSpPr>
                        <a:spPr bwMode="auto">
                          <a:xfrm>
                            <a:off x="4568" y="15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8" name="Rectangle 772"/>
                          <a:cNvSpPr>
                            <a:spLocks noChangeArrowheads="1"/>
                          </a:cNvSpPr>
                        </a:nvSpPr>
                        <a:spPr bwMode="auto">
                          <a:xfrm>
                            <a:off x="459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49" name="Rectangle 773"/>
                          <a:cNvSpPr>
                            <a:spLocks noChangeArrowheads="1"/>
                          </a:cNvSpPr>
                        </a:nvSpPr>
                        <a:spPr bwMode="auto">
                          <a:xfrm>
                            <a:off x="462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0" name="Rectangle 774"/>
                          <a:cNvSpPr>
                            <a:spLocks noChangeArrowheads="1"/>
                          </a:cNvSpPr>
                        </a:nvSpPr>
                        <a:spPr bwMode="auto">
                          <a:xfrm>
                            <a:off x="4657" y="15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1" name="Rectangle 775"/>
                          <a:cNvSpPr>
                            <a:spLocks noChangeArrowheads="1"/>
                          </a:cNvSpPr>
                        </a:nvSpPr>
                        <a:spPr bwMode="auto">
                          <a:xfrm>
                            <a:off x="1515" y="2711"/>
                            <a:ext cx="154" cy="582"/>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2" name="Rectangle 776"/>
                          <a:cNvSpPr>
                            <a:spLocks noChangeArrowheads="1"/>
                          </a:cNvSpPr>
                        </a:nvSpPr>
                        <a:spPr bwMode="auto">
                          <a:xfrm>
                            <a:off x="1976" y="2442"/>
                            <a:ext cx="154" cy="851"/>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3" name="Rectangle 777"/>
                          <a:cNvSpPr>
                            <a:spLocks noChangeArrowheads="1"/>
                          </a:cNvSpPr>
                        </a:nvSpPr>
                        <a:spPr bwMode="auto">
                          <a:xfrm>
                            <a:off x="2438" y="2540"/>
                            <a:ext cx="154" cy="753"/>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4" name="Rectangle 778"/>
                          <a:cNvSpPr>
                            <a:spLocks noChangeArrowheads="1"/>
                          </a:cNvSpPr>
                        </a:nvSpPr>
                        <a:spPr bwMode="auto">
                          <a:xfrm>
                            <a:off x="2899" y="1708"/>
                            <a:ext cx="154" cy="1585"/>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5" name="Rectangle 779"/>
                          <a:cNvSpPr>
                            <a:spLocks noChangeArrowheads="1"/>
                          </a:cNvSpPr>
                        </a:nvSpPr>
                        <a:spPr bwMode="auto">
                          <a:xfrm>
                            <a:off x="3360" y="2561"/>
                            <a:ext cx="155" cy="732"/>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6" name="Rectangle 780"/>
                          <a:cNvSpPr>
                            <a:spLocks noChangeArrowheads="1"/>
                          </a:cNvSpPr>
                        </a:nvSpPr>
                        <a:spPr bwMode="auto">
                          <a:xfrm>
                            <a:off x="3821" y="2274"/>
                            <a:ext cx="154" cy="1019"/>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7" name="Rectangle 781"/>
                          <a:cNvSpPr>
                            <a:spLocks noChangeArrowheads="1"/>
                          </a:cNvSpPr>
                        </a:nvSpPr>
                        <a:spPr bwMode="auto">
                          <a:xfrm>
                            <a:off x="4283" y="2537"/>
                            <a:ext cx="154" cy="756"/>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8" name="Rectangle 782"/>
                          <a:cNvSpPr>
                            <a:spLocks noChangeArrowheads="1"/>
                          </a:cNvSpPr>
                        </a:nvSpPr>
                        <a:spPr bwMode="auto">
                          <a:xfrm>
                            <a:off x="1669" y="2834"/>
                            <a:ext cx="154" cy="459"/>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59" name="Rectangle 783"/>
                          <a:cNvSpPr>
                            <a:spLocks noChangeArrowheads="1"/>
                          </a:cNvSpPr>
                        </a:nvSpPr>
                        <a:spPr bwMode="auto">
                          <a:xfrm>
                            <a:off x="2130" y="2797"/>
                            <a:ext cx="155" cy="496"/>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0" name="Rectangle 784"/>
                          <a:cNvSpPr>
                            <a:spLocks noChangeArrowheads="1"/>
                          </a:cNvSpPr>
                        </a:nvSpPr>
                        <a:spPr bwMode="auto">
                          <a:xfrm>
                            <a:off x="2592" y="2923"/>
                            <a:ext cx="153" cy="370"/>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1" name="Rectangle 785"/>
                          <a:cNvSpPr>
                            <a:spLocks noChangeArrowheads="1"/>
                          </a:cNvSpPr>
                        </a:nvSpPr>
                        <a:spPr bwMode="auto">
                          <a:xfrm>
                            <a:off x="3053" y="2912"/>
                            <a:ext cx="154" cy="381"/>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2" name="Rectangle 786"/>
                          <a:cNvSpPr>
                            <a:spLocks noChangeArrowheads="1"/>
                          </a:cNvSpPr>
                        </a:nvSpPr>
                        <a:spPr bwMode="auto">
                          <a:xfrm>
                            <a:off x="3515" y="3104"/>
                            <a:ext cx="153" cy="189"/>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3" name="Rectangle 787"/>
                          <a:cNvSpPr>
                            <a:spLocks noChangeArrowheads="1"/>
                          </a:cNvSpPr>
                        </a:nvSpPr>
                        <a:spPr bwMode="auto">
                          <a:xfrm>
                            <a:off x="3975" y="2904"/>
                            <a:ext cx="155" cy="389"/>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4" name="Rectangle 788"/>
                          <a:cNvSpPr>
                            <a:spLocks noChangeArrowheads="1"/>
                          </a:cNvSpPr>
                        </a:nvSpPr>
                        <a:spPr bwMode="auto">
                          <a:xfrm>
                            <a:off x="4437" y="3293"/>
                            <a:ext cx="154" cy="172"/>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5" name="Line 789"/>
                          <a:cNvSpPr>
                            <a:spLocks noChangeShapeType="1"/>
                          </a:cNvSpPr>
                        </a:nvSpPr>
                        <a:spPr bwMode="auto">
                          <a:xfrm>
                            <a:off x="1439" y="3293"/>
                            <a:ext cx="3229" cy="0"/>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6" name="Line 790"/>
                          <a:cNvSpPr>
                            <a:spLocks noChangeShapeType="1"/>
                          </a:cNvSpPr>
                        </a:nvSpPr>
                        <a:spPr bwMode="auto">
                          <a:xfrm flipV="1">
                            <a:off x="1439"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7" name="Line 791"/>
                          <a:cNvSpPr>
                            <a:spLocks noChangeShapeType="1"/>
                          </a:cNvSpPr>
                        </a:nvSpPr>
                        <a:spPr bwMode="auto">
                          <a:xfrm flipV="1">
                            <a:off x="1900"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8" name="Line 792"/>
                          <a:cNvSpPr>
                            <a:spLocks noChangeShapeType="1"/>
                          </a:cNvSpPr>
                        </a:nvSpPr>
                        <a:spPr bwMode="auto">
                          <a:xfrm flipV="1">
                            <a:off x="2362"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69" name="Line 793"/>
                          <a:cNvSpPr>
                            <a:spLocks noChangeShapeType="1"/>
                          </a:cNvSpPr>
                        </a:nvSpPr>
                        <a:spPr bwMode="auto">
                          <a:xfrm flipV="1">
                            <a:off x="2822"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70" name="Line 794"/>
                          <a:cNvSpPr>
                            <a:spLocks noChangeShapeType="1"/>
                          </a:cNvSpPr>
                        </a:nvSpPr>
                        <a:spPr bwMode="auto">
                          <a:xfrm flipV="1">
                            <a:off x="3284"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71" name="Line 795"/>
                          <a:cNvSpPr>
                            <a:spLocks noChangeShapeType="1"/>
                          </a:cNvSpPr>
                        </a:nvSpPr>
                        <a:spPr bwMode="auto">
                          <a:xfrm flipV="1">
                            <a:off x="3745"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72" name="Line 796"/>
                          <a:cNvSpPr>
                            <a:spLocks noChangeShapeType="1"/>
                          </a:cNvSpPr>
                        </a:nvSpPr>
                        <a:spPr bwMode="auto">
                          <a:xfrm flipV="1">
                            <a:off x="4207"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73" name="Line 797"/>
                          <a:cNvSpPr>
                            <a:spLocks noChangeShapeType="1"/>
                          </a:cNvSpPr>
                        </a:nvSpPr>
                        <a:spPr bwMode="auto">
                          <a:xfrm flipV="1">
                            <a:off x="4668" y="3258"/>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74" name="Rectangle 798"/>
                          <a:cNvSpPr>
                            <a:spLocks noChangeArrowheads="1"/>
                          </a:cNvSpPr>
                        </a:nvSpPr>
                        <a:spPr bwMode="auto">
                          <a:xfrm>
                            <a:off x="1189" y="3519"/>
                            <a:ext cx="161"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-10</a:t>
                              </a:r>
                              <a:endParaRPr lang="en-US"/>
                            </a:p>
                          </a:txBody>
                          <a:useSpRect/>
                        </a:txSp>
                      </a:sp>
                      <a:sp>
                        <a:nvSpPr>
                          <a:cNvPr id="460575" name="Rectangle 799"/>
                          <a:cNvSpPr>
                            <a:spLocks noChangeArrowheads="1"/>
                          </a:cNvSpPr>
                        </a:nvSpPr>
                        <a:spPr bwMode="auto">
                          <a:xfrm>
                            <a:off x="1290" y="3229"/>
                            <a:ext cx="62"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0</a:t>
                              </a:r>
                              <a:endParaRPr lang="en-US"/>
                            </a:p>
                          </a:txBody>
                          <a:useSpRect/>
                        </a:txSp>
                      </a:sp>
                      <a:sp>
                        <a:nvSpPr>
                          <a:cNvPr id="460576" name="Rectangle 800"/>
                          <a:cNvSpPr>
                            <a:spLocks noChangeArrowheads="1"/>
                          </a:cNvSpPr>
                        </a:nvSpPr>
                        <a:spPr bwMode="auto">
                          <a:xfrm>
                            <a:off x="1227" y="2939"/>
                            <a:ext cx="12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10</a:t>
                              </a:r>
                              <a:endParaRPr lang="en-US"/>
                            </a:p>
                          </a:txBody>
                          <a:useSpRect/>
                        </a:txSp>
                      </a:sp>
                      <a:sp>
                        <a:nvSpPr>
                          <a:cNvPr id="460577" name="Rectangle 801"/>
                          <a:cNvSpPr>
                            <a:spLocks noChangeArrowheads="1"/>
                          </a:cNvSpPr>
                        </a:nvSpPr>
                        <a:spPr bwMode="auto">
                          <a:xfrm>
                            <a:off x="1227" y="2649"/>
                            <a:ext cx="12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20</a:t>
                              </a:r>
                              <a:endParaRPr lang="en-US"/>
                            </a:p>
                          </a:txBody>
                          <a:useSpRect/>
                        </a:txSp>
                      </a:sp>
                      <a:sp>
                        <a:nvSpPr>
                          <a:cNvPr id="460578" name="Rectangle 802"/>
                          <a:cNvSpPr>
                            <a:spLocks noChangeArrowheads="1"/>
                          </a:cNvSpPr>
                        </a:nvSpPr>
                        <a:spPr bwMode="auto">
                          <a:xfrm>
                            <a:off x="1227" y="2359"/>
                            <a:ext cx="12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30</a:t>
                              </a:r>
                              <a:endParaRPr lang="en-US"/>
                            </a:p>
                          </a:txBody>
                          <a:useSpRect/>
                        </a:txSp>
                      </a:sp>
                      <a:sp>
                        <a:nvSpPr>
                          <a:cNvPr id="460579" name="Rectangle 803"/>
                          <a:cNvSpPr>
                            <a:spLocks noChangeArrowheads="1"/>
                          </a:cNvSpPr>
                        </a:nvSpPr>
                        <a:spPr bwMode="auto">
                          <a:xfrm>
                            <a:off x="1227" y="2069"/>
                            <a:ext cx="12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40</a:t>
                              </a:r>
                              <a:endParaRPr lang="en-US"/>
                            </a:p>
                          </a:txBody>
                          <a:useSpRect/>
                        </a:txSp>
                      </a:sp>
                      <a:sp>
                        <a:nvSpPr>
                          <a:cNvPr id="460580" name="Rectangle 804"/>
                          <a:cNvSpPr>
                            <a:spLocks noChangeArrowheads="1"/>
                          </a:cNvSpPr>
                        </a:nvSpPr>
                        <a:spPr bwMode="auto">
                          <a:xfrm>
                            <a:off x="1227" y="1779"/>
                            <a:ext cx="12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50</a:t>
                              </a:r>
                              <a:endParaRPr lang="en-US"/>
                            </a:p>
                          </a:txBody>
                          <a:useSpRect/>
                        </a:txSp>
                      </a:sp>
                      <a:sp>
                        <a:nvSpPr>
                          <a:cNvPr id="460581" name="Rectangle 805"/>
                          <a:cNvSpPr>
                            <a:spLocks noChangeArrowheads="1"/>
                          </a:cNvSpPr>
                        </a:nvSpPr>
                        <a:spPr bwMode="auto">
                          <a:xfrm>
                            <a:off x="1227" y="1489"/>
                            <a:ext cx="12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60</a:t>
                              </a:r>
                              <a:endParaRPr lang="en-US"/>
                            </a:p>
                          </a:txBody>
                          <a:useSpRect/>
                        </a:txSp>
                      </a:sp>
                      <a:sp>
                        <a:nvSpPr>
                          <a:cNvPr id="460582" name="Rectangle 806"/>
                          <a:cNvSpPr>
                            <a:spLocks noChangeArrowheads="1"/>
                          </a:cNvSpPr>
                        </a:nvSpPr>
                        <a:spPr bwMode="auto">
                          <a:xfrm>
                            <a:off x="1556" y="3681"/>
                            <a:ext cx="265"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الجزائر</a:t>
                              </a:r>
                              <a:endParaRPr lang="en-US"/>
                            </a:p>
                          </a:txBody>
                          <a:useSpRect/>
                        </a:txSp>
                      </a:sp>
                      <a:sp>
                        <a:nvSpPr>
                          <a:cNvPr id="460583" name="Rectangle 807"/>
                          <a:cNvSpPr>
                            <a:spLocks noChangeArrowheads="1"/>
                          </a:cNvSpPr>
                        </a:nvSpPr>
                        <a:spPr bwMode="auto">
                          <a:xfrm>
                            <a:off x="1975" y="3681"/>
                            <a:ext cx="273"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r" rtl="1"/>
                              <a:r>
                                <a:rPr lang="ar-SA" sz="1400">
                                  <a:solidFill>
                                    <a:srgbClr val="000000"/>
                                  </a:solidFill>
                                </a:rPr>
                                <a:t>البحرين</a:t>
                              </a:r>
                              <a:endParaRPr lang="en-US"/>
                            </a:p>
                          </a:txBody>
                          <a:useSpRect/>
                        </a:txSp>
                      </a:sp>
                      <a:sp>
                        <a:nvSpPr>
                          <a:cNvPr id="460584" name="Rectangle 808"/>
                          <a:cNvSpPr>
                            <a:spLocks noChangeArrowheads="1"/>
                          </a:cNvSpPr>
                        </a:nvSpPr>
                        <a:spPr bwMode="auto">
                          <a:xfrm>
                            <a:off x="2466" y="3681"/>
                            <a:ext cx="245"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الكويت</a:t>
                              </a:r>
                              <a:endParaRPr lang="en-US"/>
                            </a:p>
                          </a:txBody>
                          <a:useSpRect/>
                        </a:txSp>
                      </a:sp>
                      <a:sp>
                        <a:nvSpPr>
                          <a:cNvPr id="460585" name="Rectangle 809"/>
                          <a:cNvSpPr>
                            <a:spLocks noChangeArrowheads="1"/>
                          </a:cNvSpPr>
                        </a:nvSpPr>
                        <a:spPr bwMode="auto">
                          <a:xfrm>
                            <a:off x="2937" y="3681"/>
                            <a:ext cx="150"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قطر</a:t>
                              </a:r>
                              <a:endParaRPr lang="en-US"/>
                            </a:p>
                          </a:txBody>
                          <a:useSpRect/>
                        </a:txSp>
                      </a:sp>
                      <a:sp>
                        <a:nvSpPr>
                          <a:cNvPr id="460586" name="Rectangle 810"/>
                          <a:cNvSpPr>
                            <a:spLocks noChangeArrowheads="1"/>
                          </a:cNvSpPr>
                        </a:nvSpPr>
                        <a:spPr bwMode="auto">
                          <a:xfrm>
                            <a:off x="3398" y="3681"/>
                            <a:ext cx="304"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السعودية</a:t>
                              </a:r>
                              <a:endParaRPr lang="en-US"/>
                            </a:p>
                          </a:txBody>
                          <a:useSpRect/>
                        </a:txSp>
                      </a:sp>
                      <a:sp>
                        <a:nvSpPr>
                          <a:cNvPr id="460587" name="Rectangle 811"/>
                          <a:cNvSpPr>
                            <a:spLocks noChangeArrowheads="1"/>
                          </a:cNvSpPr>
                        </a:nvSpPr>
                        <a:spPr bwMode="auto">
                          <a:xfrm>
                            <a:off x="3856" y="3681"/>
                            <a:ext cx="273"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السودان</a:t>
                              </a:r>
                              <a:endParaRPr lang="en-US"/>
                            </a:p>
                          </a:txBody>
                          <a:useSpRect/>
                        </a:txSp>
                      </a:sp>
                    </a:grpSp>
                    <a:sp>
                      <a:nvSpPr>
                        <a:cNvPr id="460589" name="Rectangle 813"/>
                        <a:cNvSpPr>
                          <a:spLocks noChangeArrowheads="1"/>
                        </a:cNvSpPr>
                      </a:nvSpPr>
                      <a:spPr bwMode="auto">
                        <a:xfrm>
                          <a:off x="4311" y="3681"/>
                          <a:ext cx="176"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اليمن</a:t>
                            </a:r>
                            <a:endParaRPr lang="en-US"/>
                          </a:p>
                        </a:txBody>
                        <a:useSpRect/>
                      </a:txSp>
                    </a:sp>
                    <a:sp>
                      <a:nvSpPr>
                        <a:cNvPr id="460590" name="Rectangle 814"/>
                        <a:cNvSpPr>
                          <a:spLocks noChangeArrowheads="1"/>
                        </a:cNvSpPr>
                      </a:nvSpPr>
                      <a:spPr bwMode="auto">
                        <a:xfrm>
                          <a:off x="3487" y="1617"/>
                          <a:ext cx="57" cy="57"/>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91" name="Rectangle 815"/>
                        <a:cNvSpPr>
                          <a:spLocks noChangeArrowheads="1"/>
                        </a:cNvSpPr>
                      </a:nvSpPr>
                      <a:spPr bwMode="auto">
                        <a:xfrm>
                          <a:off x="3538" y="1593"/>
                          <a:ext cx="910" cy="116"/>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r" rtl="1"/>
                            <a:r>
                              <a:rPr lang="ar-SA" sz="1200" dirty="0">
                                <a:solidFill>
                                  <a:srgbClr val="000000"/>
                                </a:solidFill>
                              </a:rPr>
                              <a:t>ديسمبر </a:t>
                            </a:r>
                            <a:r>
                              <a:rPr lang="ar-SA" sz="1200" dirty="0" smtClean="0">
                                <a:solidFill>
                                  <a:srgbClr val="000000"/>
                                </a:solidFill>
                              </a:rPr>
                              <a:t>2004-</a:t>
                            </a:r>
                            <a:r>
                              <a:rPr lang="ar-DZ" sz="1200" dirty="0" smtClean="0">
                                <a:solidFill>
                                  <a:srgbClr val="000000"/>
                                </a:solidFill>
                              </a:rPr>
                              <a:t>جوان</a:t>
                            </a:r>
                            <a:r>
                              <a:rPr lang="ar-SA" sz="1200" dirty="0" smtClean="0">
                                <a:solidFill>
                                  <a:srgbClr val="000000"/>
                                </a:solidFill>
                              </a:rPr>
                              <a:t> </a:t>
                            </a:r>
                            <a:r>
                              <a:rPr lang="ar-SA" sz="1200" dirty="0">
                                <a:solidFill>
                                  <a:srgbClr val="000000"/>
                                </a:solidFill>
                              </a:rPr>
                              <a:t>2008</a:t>
                            </a:r>
                            <a:endParaRPr lang="en-US" dirty="0"/>
                          </a:p>
                        </a:txBody>
                        <a:useSpRect/>
                      </a:txSp>
                    </a:sp>
                    <a:sp>
                      <a:nvSpPr>
                        <a:cNvPr id="460592" name="Rectangle 816"/>
                        <a:cNvSpPr>
                          <a:spLocks noChangeArrowheads="1"/>
                        </a:cNvSpPr>
                      </a:nvSpPr>
                      <a:spPr bwMode="auto">
                        <a:xfrm>
                          <a:off x="3487" y="1747"/>
                          <a:ext cx="57" cy="57"/>
                        </a:xfrm>
                        <a:prstGeom prst="rect">
                          <a:avLst/>
                        </a:prstGeom>
                        <a:solidFill>
                          <a:srgbClr val="FF6600"/>
                        </a:solidFill>
                        <a:ln w="7938">
                          <a:solidFill>
                            <a:srgbClr val="FF66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0593" name="Rectangle 817"/>
                        <a:cNvSpPr>
                          <a:spLocks noChangeArrowheads="1"/>
                        </a:cNvSpPr>
                      </a:nvSpPr>
                      <a:spPr bwMode="auto">
                        <a:xfrm>
                          <a:off x="3541" y="1698"/>
                          <a:ext cx="900" cy="116"/>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r" rtl="1"/>
                            <a:r>
                              <a:rPr lang="ar-DZ" sz="1200" dirty="0" smtClean="0">
                                <a:solidFill>
                                  <a:srgbClr val="000000"/>
                                </a:solidFill>
                              </a:rPr>
                              <a:t>جوان</a:t>
                            </a:r>
                            <a:r>
                              <a:rPr lang="ar-SA" sz="1200" dirty="0" smtClean="0">
                                <a:solidFill>
                                  <a:srgbClr val="000000"/>
                                </a:solidFill>
                              </a:rPr>
                              <a:t> </a:t>
                            </a:r>
                            <a:r>
                              <a:rPr lang="ar-SA" sz="1200" dirty="0">
                                <a:solidFill>
                                  <a:srgbClr val="000000"/>
                                </a:solidFill>
                              </a:rPr>
                              <a:t>2008- </a:t>
                            </a:r>
                            <a:r>
                              <a:rPr lang="ar-DZ" sz="1200" dirty="0" smtClean="0">
                                <a:solidFill>
                                  <a:srgbClr val="000000"/>
                                </a:solidFill>
                              </a:rPr>
                              <a:t>أكتوبر 2009</a:t>
                            </a:r>
                            <a:endParaRPr lang="en-US" dirty="0"/>
                          </a:p>
                        </a:txBody>
                        <a:useSpRect/>
                      </a:txSp>
                    </a:sp>
                  </a:grpSp>
                </lc:lockedCanvas>
              </a:graphicData>
            </a:graphic>
          </wp:inline>
        </w:drawing>
      </w:r>
      <w:r>
        <w:rPr>
          <w:rFonts w:ascii="Traditional Arabic" w:hAnsi="Traditional Arabic" w:cs="Traditional Arabic" w:hint="cs"/>
          <w:sz w:val="28"/>
          <w:szCs w:val="28"/>
          <w:rtl/>
          <w:lang w:bidi="ar-DZ"/>
        </w:rPr>
        <w:t xml:space="preserve"> </w:t>
      </w:r>
      <w:r w:rsidRPr="002C10B5">
        <w:rPr>
          <w:rFonts w:ascii="Traditional Arabic" w:hAnsi="Traditional Arabic" w:cs="Traditional Arabic"/>
          <w:sz w:val="28"/>
          <w:szCs w:val="28"/>
          <w:rtl/>
          <w:lang w:bidi="ar-DZ"/>
        </w:rPr>
        <w:t xml:space="preserve">              </w:t>
      </w:r>
      <w:r w:rsidRPr="002C10B5">
        <w:rPr>
          <w:rFonts w:ascii="Traditional Arabic" w:hAnsi="Traditional Arabic" w:cs="Traditional Arabic"/>
          <w:noProof/>
          <w:sz w:val="28"/>
          <w:szCs w:val="28"/>
          <w:rtl/>
        </w:rPr>
        <w:drawing>
          <wp:inline distT="0" distB="0" distL="0" distR="0">
            <wp:extent cx="2398750" cy="2421331"/>
            <wp:effectExtent l="0" t="0" r="1550" b="0"/>
            <wp:docPr id="15" name="Obje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3400" cy="3838575"/>
                      <a:chOff x="1676400" y="2438400"/>
                      <a:chExt cx="5613400" cy="3838575"/>
                    </a:xfrm>
                  </a:grpSpPr>
                  <a:grpSp>
                    <a:nvGrpSpPr>
                      <a:cNvPr id="461833" name="Group 9"/>
                      <a:cNvGrpSpPr>
                        <a:grpSpLocks noChangeAspect="1"/>
                      </a:cNvGrpSpPr>
                    </a:nvGrpSpPr>
                    <a:grpSpPr bwMode="auto">
                      <a:xfrm>
                        <a:off x="1676400" y="2438400"/>
                        <a:ext cx="5613400" cy="3838575"/>
                        <a:chOff x="1056" y="1536"/>
                        <a:chExt cx="3536" cy="2418"/>
                      </a:xfrm>
                    </a:grpSpPr>
                    <a:sp>
                      <a:nvSpPr>
                        <a:cNvPr id="461832" name="AutoShape 8"/>
                        <a:cNvSpPr>
                          <a:spLocks noChangeAspect="1" noChangeArrowheads="1" noTextEdit="1"/>
                        </a:cNvSpPr>
                      </a:nvSpPr>
                      <a:spPr bwMode="auto">
                        <a:xfrm>
                          <a:off x="1056" y="1536"/>
                          <a:ext cx="3536" cy="2418"/>
                        </a:xfrm>
                        <a:prstGeom prst="rect">
                          <a:avLst/>
                        </a:prstGeom>
                        <a:noFill/>
                        <a:ln w="9525">
                          <a:no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nvGrpSpPr>
                        <a:cNvPr id="4" name="Group 210"/>
                        <a:cNvGrpSpPr>
                          <a:grpSpLocks/>
                        </a:cNvGrpSpPr>
                      </a:nvGrpSpPr>
                      <a:grpSpPr bwMode="auto">
                        <a:xfrm>
                          <a:off x="1303" y="3001"/>
                          <a:ext cx="3260" cy="343"/>
                          <a:chOff x="1303" y="3001"/>
                          <a:chExt cx="3260" cy="343"/>
                        </a:xfrm>
                      </a:grpSpPr>
                      <a:sp>
                        <a:nvSpPr>
                          <a:cNvPr id="461834" name="Rectangle 10"/>
                          <a:cNvSpPr>
                            <a:spLocks noChangeArrowheads="1"/>
                          </a:cNvSpPr>
                        </a:nvSpPr>
                        <a:spPr bwMode="auto">
                          <a:xfrm>
                            <a:off x="130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35" name="Rectangle 11"/>
                          <a:cNvSpPr>
                            <a:spLocks noChangeArrowheads="1"/>
                          </a:cNvSpPr>
                        </a:nvSpPr>
                        <a:spPr bwMode="auto">
                          <a:xfrm>
                            <a:off x="133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36" name="Rectangle 12"/>
                          <a:cNvSpPr>
                            <a:spLocks noChangeArrowheads="1"/>
                          </a:cNvSpPr>
                        </a:nvSpPr>
                        <a:spPr bwMode="auto">
                          <a:xfrm>
                            <a:off x="136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37" name="Rectangle 13"/>
                          <a:cNvSpPr>
                            <a:spLocks noChangeArrowheads="1"/>
                          </a:cNvSpPr>
                        </a:nvSpPr>
                        <a:spPr bwMode="auto">
                          <a:xfrm>
                            <a:off x="139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38" name="Rectangle 14"/>
                          <a:cNvSpPr>
                            <a:spLocks noChangeArrowheads="1"/>
                          </a:cNvSpPr>
                        </a:nvSpPr>
                        <a:spPr bwMode="auto">
                          <a:xfrm>
                            <a:off x="142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39" name="Rectangle 15"/>
                          <a:cNvSpPr>
                            <a:spLocks noChangeArrowheads="1"/>
                          </a:cNvSpPr>
                        </a:nvSpPr>
                        <a:spPr bwMode="auto">
                          <a:xfrm>
                            <a:off x="145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0" name="Rectangle 16"/>
                          <a:cNvSpPr>
                            <a:spLocks noChangeArrowheads="1"/>
                          </a:cNvSpPr>
                        </a:nvSpPr>
                        <a:spPr bwMode="auto">
                          <a:xfrm>
                            <a:off x="1482" y="3339"/>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1" name="Rectangle 17"/>
                          <a:cNvSpPr>
                            <a:spLocks noChangeArrowheads="1"/>
                          </a:cNvSpPr>
                        </a:nvSpPr>
                        <a:spPr bwMode="auto">
                          <a:xfrm>
                            <a:off x="151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2" name="Rectangle 18"/>
                          <a:cNvSpPr>
                            <a:spLocks noChangeArrowheads="1"/>
                          </a:cNvSpPr>
                        </a:nvSpPr>
                        <a:spPr bwMode="auto">
                          <a:xfrm>
                            <a:off x="154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3" name="Rectangle 19"/>
                          <a:cNvSpPr>
                            <a:spLocks noChangeArrowheads="1"/>
                          </a:cNvSpPr>
                        </a:nvSpPr>
                        <a:spPr bwMode="auto">
                          <a:xfrm>
                            <a:off x="157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4" name="Rectangle 20"/>
                          <a:cNvSpPr>
                            <a:spLocks noChangeArrowheads="1"/>
                          </a:cNvSpPr>
                        </a:nvSpPr>
                        <a:spPr bwMode="auto">
                          <a:xfrm>
                            <a:off x="160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5" name="Rectangle 21"/>
                          <a:cNvSpPr>
                            <a:spLocks noChangeArrowheads="1"/>
                          </a:cNvSpPr>
                        </a:nvSpPr>
                        <a:spPr bwMode="auto">
                          <a:xfrm>
                            <a:off x="163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6" name="Rectangle 22"/>
                          <a:cNvSpPr>
                            <a:spLocks noChangeArrowheads="1"/>
                          </a:cNvSpPr>
                        </a:nvSpPr>
                        <a:spPr bwMode="auto">
                          <a:xfrm>
                            <a:off x="166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7" name="Rectangle 23"/>
                          <a:cNvSpPr>
                            <a:spLocks noChangeArrowheads="1"/>
                          </a:cNvSpPr>
                        </a:nvSpPr>
                        <a:spPr bwMode="auto">
                          <a:xfrm>
                            <a:off x="169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8" name="Rectangle 24"/>
                          <a:cNvSpPr>
                            <a:spLocks noChangeArrowheads="1"/>
                          </a:cNvSpPr>
                        </a:nvSpPr>
                        <a:spPr bwMode="auto">
                          <a:xfrm>
                            <a:off x="172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49" name="Rectangle 25"/>
                          <a:cNvSpPr>
                            <a:spLocks noChangeArrowheads="1"/>
                          </a:cNvSpPr>
                        </a:nvSpPr>
                        <a:spPr bwMode="auto">
                          <a:xfrm>
                            <a:off x="175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0" name="Rectangle 26"/>
                          <a:cNvSpPr>
                            <a:spLocks noChangeArrowheads="1"/>
                          </a:cNvSpPr>
                        </a:nvSpPr>
                        <a:spPr bwMode="auto">
                          <a:xfrm>
                            <a:off x="178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1" name="Rectangle 27"/>
                          <a:cNvSpPr>
                            <a:spLocks noChangeArrowheads="1"/>
                          </a:cNvSpPr>
                        </a:nvSpPr>
                        <a:spPr bwMode="auto">
                          <a:xfrm>
                            <a:off x="1810" y="3339"/>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2" name="Rectangle 28"/>
                          <a:cNvSpPr>
                            <a:spLocks noChangeArrowheads="1"/>
                          </a:cNvSpPr>
                        </a:nvSpPr>
                        <a:spPr bwMode="auto">
                          <a:xfrm>
                            <a:off x="183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3" name="Rectangle 29"/>
                          <a:cNvSpPr>
                            <a:spLocks noChangeArrowheads="1"/>
                          </a:cNvSpPr>
                        </a:nvSpPr>
                        <a:spPr bwMode="auto">
                          <a:xfrm>
                            <a:off x="186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4" name="Rectangle 30"/>
                          <a:cNvSpPr>
                            <a:spLocks noChangeArrowheads="1"/>
                          </a:cNvSpPr>
                        </a:nvSpPr>
                        <a:spPr bwMode="auto">
                          <a:xfrm>
                            <a:off x="189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5" name="Rectangle 31"/>
                          <a:cNvSpPr>
                            <a:spLocks noChangeArrowheads="1"/>
                          </a:cNvSpPr>
                        </a:nvSpPr>
                        <a:spPr bwMode="auto">
                          <a:xfrm>
                            <a:off x="192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6" name="Rectangle 32"/>
                          <a:cNvSpPr>
                            <a:spLocks noChangeArrowheads="1"/>
                          </a:cNvSpPr>
                        </a:nvSpPr>
                        <a:spPr bwMode="auto">
                          <a:xfrm>
                            <a:off x="195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7" name="Rectangle 33"/>
                          <a:cNvSpPr>
                            <a:spLocks noChangeArrowheads="1"/>
                          </a:cNvSpPr>
                        </a:nvSpPr>
                        <a:spPr bwMode="auto">
                          <a:xfrm>
                            <a:off x="198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8" name="Rectangle 34"/>
                          <a:cNvSpPr>
                            <a:spLocks noChangeArrowheads="1"/>
                          </a:cNvSpPr>
                        </a:nvSpPr>
                        <a:spPr bwMode="auto">
                          <a:xfrm>
                            <a:off x="201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59" name="Rectangle 35"/>
                          <a:cNvSpPr>
                            <a:spLocks noChangeArrowheads="1"/>
                          </a:cNvSpPr>
                        </a:nvSpPr>
                        <a:spPr bwMode="auto">
                          <a:xfrm>
                            <a:off x="204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0" name="Rectangle 36"/>
                          <a:cNvSpPr>
                            <a:spLocks noChangeArrowheads="1"/>
                          </a:cNvSpPr>
                        </a:nvSpPr>
                        <a:spPr bwMode="auto">
                          <a:xfrm>
                            <a:off x="207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1" name="Rectangle 37"/>
                          <a:cNvSpPr>
                            <a:spLocks noChangeArrowheads="1"/>
                          </a:cNvSpPr>
                        </a:nvSpPr>
                        <a:spPr bwMode="auto">
                          <a:xfrm>
                            <a:off x="210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2" name="Rectangle 38"/>
                          <a:cNvSpPr>
                            <a:spLocks noChangeArrowheads="1"/>
                          </a:cNvSpPr>
                        </a:nvSpPr>
                        <a:spPr bwMode="auto">
                          <a:xfrm>
                            <a:off x="2138" y="3339"/>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3" name="Rectangle 39"/>
                          <a:cNvSpPr>
                            <a:spLocks noChangeArrowheads="1"/>
                          </a:cNvSpPr>
                        </a:nvSpPr>
                        <a:spPr bwMode="auto">
                          <a:xfrm>
                            <a:off x="216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4" name="Rectangle 40"/>
                          <a:cNvSpPr>
                            <a:spLocks noChangeArrowheads="1"/>
                          </a:cNvSpPr>
                        </a:nvSpPr>
                        <a:spPr bwMode="auto">
                          <a:xfrm>
                            <a:off x="219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5" name="Rectangle 41"/>
                          <a:cNvSpPr>
                            <a:spLocks noChangeArrowheads="1"/>
                          </a:cNvSpPr>
                        </a:nvSpPr>
                        <a:spPr bwMode="auto">
                          <a:xfrm>
                            <a:off x="222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6" name="Rectangle 42"/>
                          <a:cNvSpPr>
                            <a:spLocks noChangeArrowheads="1"/>
                          </a:cNvSpPr>
                        </a:nvSpPr>
                        <a:spPr bwMode="auto">
                          <a:xfrm>
                            <a:off x="225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7" name="Rectangle 43"/>
                          <a:cNvSpPr>
                            <a:spLocks noChangeArrowheads="1"/>
                          </a:cNvSpPr>
                        </a:nvSpPr>
                        <a:spPr bwMode="auto">
                          <a:xfrm>
                            <a:off x="228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8" name="Rectangle 44"/>
                          <a:cNvSpPr>
                            <a:spLocks noChangeArrowheads="1"/>
                          </a:cNvSpPr>
                        </a:nvSpPr>
                        <a:spPr bwMode="auto">
                          <a:xfrm>
                            <a:off x="231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69" name="Rectangle 45"/>
                          <a:cNvSpPr>
                            <a:spLocks noChangeArrowheads="1"/>
                          </a:cNvSpPr>
                        </a:nvSpPr>
                        <a:spPr bwMode="auto">
                          <a:xfrm>
                            <a:off x="234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0" name="Rectangle 46"/>
                          <a:cNvSpPr>
                            <a:spLocks noChangeArrowheads="1"/>
                          </a:cNvSpPr>
                        </a:nvSpPr>
                        <a:spPr bwMode="auto">
                          <a:xfrm>
                            <a:off x="237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1" name="Rectangle 47"/>
                          <a:cNvSpPr>
                            <a:spLocks noChangeArrowheads="1"/>
                          </a:cNvSpPr>
                        </a:nvSpPr>
                        <a:spPr bwMode="auto">
                          <a:xfrm>
                            <a:off x="240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2" name="Rectangle 48"/>
                          <a:cNvSpPr>
                            <a:spLocks noChangeArrowheads="1"/>
                          </a:cNvSpPr>
                        </a:nvSpPr>
                        <a:spPr bwMode="auto">
                          <a:xfrm>
                            <a:off x="243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3" name="Rectangle 49"/>
                          <a:cNvSpPr>
                            <a:spLocks noChangeArrowheads="1"/>
                          </a:cNvSpPr>
                        </a:nvSpPr>
                        <a:spPr bwMode="auto">
                          <a:xfrm>
                            <a:off x="246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4" name="Rectangle 50"/>
                          <a:cNvSpPr>
                            <a:spLocks noChangeArrowheads="1"/>
                          </a:cNvSpPr>
                        </a:nvSpPr>
                        <a:spPr bwMode="auto">
                          <a:xfrm>
                            <a:off x="249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5" name="Rectangle 51"/>
                          <a:cNvSpPr>
                            <a:spLocks noChangeArrowheads="1"/>
                          </a:cNvSpPr>
                        </a:nvSpPr>
                        <a:spPr bwMode="auto">
                          <a:xfrm>
                            <a:off x="252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6" name="Rectangle 52"/>
                          <a:cNvSpPr>
                            <a:spLocks noChangeArrowheads="1"/>
                          </a:cNvSpPr>
                        </a:nvSpPr>
                        <a:spPr bwMode="auto">
                          <a:xfrm>
                            <a:off x="255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7" name="Rectangle 53"/>
                          <a:cNvSpPr>
                            <a:spLocks noChangeArrowheads="1"/>
                          </a:cNvSpPr>
                        </a:nvSpPr>
                        <a:spPr bwMode="auto">
                          <a:xfrm>
                            <a:off x="258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8" name="Rectangle 54"/>
                          <a:cNvSpPr>
                            <a:spLocks noChangeArrowheads="1"/>
                          </a:cNvSpPr>
                        </a:nvSpPr>
                        <a:spPr bwMode="auto">
                          <a:xfrm>
                            <a:off x="261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79" name="Rectangle 55"/>
                          <a:cNvSpPr>
                            <a:spLocks noChangeArrowheads="1"/>
                          </a:cNvSpPr>
                        </a:nvSpPr>
                        <a:spPr bwMode="auto">
                          <a:xfrm>
                            <a:off x="264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0" name="Rectangle 56"/>
                          <a:cNvSpPr>
                            <a:spLocks noChangeArrowheads="1"/>
                          </a:cNvSpPr>
                        </a:nvSpPr>
                        <a:spPr bwMode="auto">
                          <a:xfrm>
                            <a:off x="267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1" name="Rectangle 57"/>
                          <a:cNvSpPr>
                            <a:spLocks noChangeArrowheads="1"/>
                          </a:cNvSpPr>
                        </a:nvSpPr>
                        <a:spPr bwMode="auto">
                          <a:xfrm>
                            <a:off x="270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2" name="Rectangle 58"/>
                          <a:cNvSpPr>
                            <a:spLocks noChangeArrowheads="1"/>
                          </a:cNvSpPr>
                        </a:nvSpPr>
                        <a:spPr bwMode="auto">
                          <a:xfrm>
                            <a:off x="273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3" name="Rectangle 59"/>
                          <a:cNvSpPr>
                            <a:spLocks noChangeArrowheads="1"/>
                          </a:cNvSpPr>
                        </a:nvSpPr>
                        <a:spPr bwMode="auto">
                          <a:xfrm>
                            <a:off x="276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4" name="Rectangle 60"/>
                          <a:cNvSpPr>
                            <a:spLocks noChangeArrowheads="1"/>
                          </a:cNvSpPr>
                        </a:nvSpPr>
                        <a:spPr bwMode="auto">
                          <a:xfrm>
                            <a:off x="279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5" name="Rectangle 61"/>
                          <a:cNvSpPr>
                            <a:spLocks noChangeArrowheads="1"/>
                          </a:cNvSpPr>
                        </a:nvSpPr>
                        <a:spPr bwMode="auto">
                          <a:xfrm>
                            <a:off x="282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6" name="Rectangle 62"/>
                          <a:cNvSpPr>
                            <a:spLocks noChangeArrowheads="1"/>
                          </a:cNvSpPr>
                        </a:nvSpPr>
                        <a:spPr bwMode="auto">
                          <a:xfrm>
                            <a:off x="285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7" name="Rectangle 63"/>
                          <a:cNvSpPr>
                            <a:spLocks noChangeArrowheads="1"/>
                          </a:cNvSpPr>
                        </a:nvSpPr>
                        <a:spPr bwMode="auto">
                          <a:xfrm>
                            <a:off x="288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8" name="Rectangle 64"/>
                          <a:cNvSpPr>
                            <a:spLocks noChangeArrowheads="1"/>
                          </a:cNvSpPr>
                        </a:nvSpPr>
                        <a:spPr bwMode="auto">
                          <a:xfrm>
                            <a:off x="291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89" name="Rectangle 65"/>
                          <a:cNvSpPr>
                            <a:spLocks noChangeArrowheads="1"/>
                          </a:cNvSpPr>
                        </a:nvSpPr>
                        <a:spPr bwMode="auto">
                          <a:xfrm>
                            <a:off x="294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0" name="Rectangle 66"/>
                          <a:cNvSpPr>
                            <a:spLocks noChangeArrowheads="1"/>
                          </a:cNvSpPr>
                        </a:nvSpPr>
                        <a:spPr bwMode="auto">
                          <a:xfrm>
                            <a:off x="297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1" name="Rectangle 67"/>
                          <a:cNvSpPr>
                            <a:spLocks noChangeArrowheads="1"/>
                          </a:cNvSpPr>
                        </a:nvSpPr>
                        <a:spPr bwMode="auto">
                          <a:xfrm>
                            <a:off x="300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2" name="Rectangle 68"/>
                          <a:cNvSpPr>
                            <a:spLocks noChangeArrowheads="1"/>
                          </a:cNvSpPr>
                        </a:nvSpPr>
                        <a:spPr bwMode="auto">
                          <a:xfrm>
                            <a:off x="303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3" name="Rectangle 69"/>
                          <a:cNvSpPr>
                            <a:spLocks noChangeArrowheads="1"/>
                          </a:cNvSpPr>
                        </a:nvSpPr>
                        <a:spPr bwMode="auto">
                          <a:xfrm>
                            <a:off x="306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4" name="Rectangle 70"/>
                          <a:cNvSpPr>
                            <a:spLocks noChangeArrowheads="1"/>
                          </a:cNvSpPr>
                        </a:nvSpPr>
                        <a:spPr bwMode="auto">
                          <a:xfrm>
                            <a:off x="309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5" name="Rectangle 71"/>
                          <a:cNvSpPr>
                            <a:spLocks noChangeArrowheads="1"/>
                          </a:cNvSpPr>
                        </a:nvSpPr>
                        <a:spPr bwMode="auto">
                          <a:xfrm>
                            <a:off x="3122"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6" name="Rectangle 72"/>
                          <a:cNvSpPr>
                            <a:spLocks noChangeArrowheads="1"/>
                          </a:cNvSpPr>
                        </a:nvSpPr>
                        <a:spPr bwMode="auto">
                          <a:xfrm>
                            <a:off x="315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7" name="Rectangle 73"/>
                          <a:cNvSpPr>
                            <a:spLocks noChangeArrowheads="1"/>
                          </a:cNvSpPr>
                        </a:nvSpPr>
                        <a:spPr bwMode="auto">
                          <a:xfrm>
                            <a:off x="318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8" name="Rectangle 74"/>
                          <a:cNvSpPr>
                            <a:spLocks noChangeArrowheads="1"/>
                          </a:cNvSpPr>
                        </a:nvSpPr>
                        <a:spPr bwMode="auto">
                          <a:xfrm>
                            <a:off x="321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899" name="Rectangle 75"/>
                          <a:cNvSpPr>
                            <a:spLocks noChangeArrowheads="1"/>
                          </a:cNvSpPr>
                        </a:nvSpPr>
                        <a:spPr bwMode="auto">
                          <a:xfrm>
                            <a:off x="324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0" name="Rectangle 76"/>
                          <a:cNvSpPr>
                            <a:spLocks noChangeArrowheads="1"/>
                          </a:cNvSpPr>
                        </a:nvSpPr>
                        <a:spPr bwMode="auto">
                          <a:xfrm>
                            <a:off x="3271"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1" name="Rectangle 77"/>
                          <a:cNvSpPr>
                            <a:spLocks noChangeArrowheads="1"/>
                          </a:cNvSpPr>
                        </a:nvSpPr>
                        <a:spPr bwMode="auto">
                          <a:xfrm>
                            <a:off x="330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2" name="Rectangle 78"/>
                          <a:cNvSpPr>
                            <a:spLocks noChangeArrowheads="1"/>
                          </a:cNvSpPr>
                        </a:nvSpPr>
                        <a:spPr bwMode="auto">
                          <a:xfrm>
                            <a:off x="333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3" name="Rectangle 79"/>
                          <a:cNvSpPr>
                            <a:spLocks noChangeArrowheads="1"/>
                          </a:cNvSpPr>
                        </a:nvSpPr>
                        <a:spPr bwMode="auto">
                          <a:xfrm>
                            <a:off x="336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4" name="Rectangle 80"/>
                          <a:cNvSpPr>
                            <a:spLocks noChangeArrowheads="1"/>
                          </a:cNvSpPr>
                        </a:nvSpPr>
                        <a:spPr bwMode="auto">
                          <a:xfrm>
                            <a:off x="339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5" name="Rectangle 81"/>
                          <a:cNvSpPr>
                            <a:spLocks noChangeArrowheads="1"/>
                          </a:cNvSpPr>
                        </a:nvSpPr>
                        <a:spPr bwMode="auto">
                          <a:xfrm>
                            <a:off x="342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6" name="Rectangle 82"/>
                          <a:cNvSpPr>
                            <a:spLocks noChangeArrowheads="1"/>
                          </a:cNvSpPr>
                        </a:nvSpPr>
                        <a:spPr bwMode="auto">
                          <a:xfrm>
                            <a:off x="3450"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7" name="Rectangle 83"/>
                          <a:cNvSpPr>
                            <a:spLocks noChangeArrowheads="1"/>
                          </a:cNvSpPr>
                        </a:nvSpPr>
                        <a:spPr bwMode="auto">
                          <a:xfrm>
                            <a:off x="347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8" name="Rectangle 84"/>
                          <a:cNvSpPr>
                            <a:spLocks noChangeArrowheads="1"/>
                          </a:cNvSpPr>
                        </a:nvSpPr>
                        <a:spPr bwMode="auto">
                          <a:xfrm>
                            <a:off x="350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09" name="Rectangle 85"/>
                          <a:cNvSpPr>
                            <a:spLocks noChangeArrowheads="1"/>
                          </a:cNvSpPr>
                        </a:nvSpPr>
                        <a:spPr bwMode="auto">
                          <a:xfrm>
                            <a:off x="353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0" name="Rectangle 86"/>
                          <a:cNvSpPr>
                            <a:spLocks noChangeArrowheads="1"/>
                          </a:cNvSpPr>
                        </a:nvSpPr>
                        <a:spPr bwMode="auto">
                          <a:xfrm>
                            <a:off x="356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1" name="Rectangle 87"/>
                          <a:cNvSpPr>
                            <a:spLocks noChangeArrowheads="1"/>
                          </a:cNvSpPr>
                        </a:nvSpPr>
                        <a:spPr bwMode="auto">
                          <a:xfrm>
                            <a:off x="3599"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2" name="Rectangle 88"/>
                          <a:cNvSpPr>
                            <a:spLocks noChangeArrowheads="1"/>
                          </a:cNvSpPr>
                        </a:nvSpPr>
                        <a:spPr bwMode="auto">
                          <a:xfrm>
                            <a:off x="3629" y="3339"/>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3" name="Rectangle 89"/>
                          <a:cNvSpPr>
                            <a:spLocks noChangeArrowheads="1"/>
                          </a:cNvSpPr>
                        </a:nvSpPr>
                        <a:spPr bwMode="auto">
                          <a:xfrm>
                            <a:off x="365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4" name="Rectangle 90"/>
                          <a:cNvSpPr>
                            <a:spLocks noChangeArrowheads="1"/>
                          </a:cNvSpPr>
                        </a:nvSpPr>
                        <a:spPr bwMode="auto">
                          <a:xfrm>
                            <a:off x="368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5" name="Rectangle 91"/>
                          <a:cNvSpPr>
                            <a:spLocks noChangeArrowheads="1"/>
                          </a:cNvSpPr>
                        </a:nvSpPr>
                        <a:spPr bwMode="auto">
                          <a:xfrm>
                            <a:off x="371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6" name="Rectangle 92"/>
                          <a:cNvSpPr>
                            <a:spLocks noChangeArrowheads="1"/>
                          </a:cNvSpPr>
                        </a:nvSpPr>
                        <a:spPr bwMode="auto">
                          <a:xfrm>
                            <a:off x="374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7" name="Rectangle 93"/>
                          <a:cNvSpPr>
                            <a:spLocks noChangeArrowheads="1"/>
                          </a:cNvSpPr>
                        </a:nvSpPr>
                        <a:spPr bwMode="auto">
                          <a:xfrm>
                            <a:off x="3778"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8" name="Rectangle 94"/>
                          <a:cNvSpPr>
                            <a:spLocks noChangeArrowheads="1"/>
                          </a:cNvSpPr>
                        </a:nvSpPr>
                        <a:spPr bwMode="auto">
                          <a:xfrm>
                            <a:off x="380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19" name="Rectangle 95"/>
                          <a:cNvSpPr>
                            <a:spLocks noChangeArrowheads="1"/>
                          </a:cNvSpPr>
                        </a:nvSpPr>
                        <a:spPr bwMode="auto">
                          <a:xfrm>
                            <a:off x="383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0" name="Rectangle 96"/>
                          <a:cNvSpPr>
                            <a:spLocks noChangeArrowheads="1"/>
                          </a:cNvSpPr>
                        </a:nvSpPr>
                        <a:spPr bwMode="auto">
                          <a:xfrm>
                            <a:off x="386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1" name="Rectangle 97"/>
                          <a:cNvSpPr>
                            <a:spLocks noChangeArrowheads="1"/>
                          </a:cNvSpPr>
                        </a:nvSpPr>
                        <a:spPr bwMode="auto">
                          <a:xfrm>
                            <a:off x="389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2" name="Rectangle 98"/>
                          <a:cNvSpPr>
                            <a:spLocks noChangeArrowheads="1"/>
                          </a:cNvSpPr>
                        </a:nvSpPr>
                        <a:spPr bwMode="auto">
                          <a:xfrm>
                            <a:off x="3927"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3" name="Rectangle 99"/>
                          <a:cNvSpPr>
                            <a:spLocks noChangeArrowheads="1"/>
                          </a:cNvSpPr>
                        </a:nvSpPr>
                        <a:spPr bwMode="auto">
                          <a:xfrm>
                            <a:off x="3957" y="3339"/>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4" name="Rectangle 100"/>
                          <a:cNvSpPr>
                            <a:spLocks noChangeArrowheads="1"/>
                          </a:cNvSpPr>
                        </a:nvSpPr>
                        <a:spPr bwMode="auto">
                          <a:xfrm>
                            <a:off x="398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5" name="Rectangle 101"/>
                          <a:cNvSpPr>
                            <a:spLocks noChangeArrowheads="1"/>
                          </a:cNvSpPr>
                        </a:nvSpPr>
                        <a:spPr bwMode="auto">
                          <a:xfrm>
                            <a:off x="401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6" name="Rectangle 102"/>
                          <a:cNvSpPr>
                            <a:spLocks noChangeArrowheads="1"/>
                          </a:cNvSpPr>
                        </a:nvSpPr>
                        <a:spPr bwMode="auto">
                          <a:xfrm>
                            <a:off x="404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7" name="Rectangle 103"/>
                          <a:cNvSpPr>
                            <a:spLocks noChangeArrowheads="1"/>
                          </a:cNvSpPr>
                        </a:nvSpPr>
                        <a:spPr bwMode="auto">
                          <a:xfrm>
                            <a:off x="407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8" name="Rectangle 104"/>
                          <a:cNvSpPr>
                            <a:spLocks noChangeArrowheads="1"/>
                          </a:cNvSpPr>
                        </a:nvSpPr>
                        <a:spPr bwMode="auto">
                          <a:xfrm>
                            <a:off x="4106"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29" name="Rectangle 105"/>
                          <a:cNvSpPr>
                            <a:spLocks noChangeArrowheads="1"/>
                          </a:cNvSpPr>
                        </a:nvSpPr>
                        <a:spPr bwMode="auto">
                          <a:xfrm>
                            <a:off x="413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0" name="Rectangle 106"/>
                          <a:cNvSpPr>
                            <a:spLocks noChangeArrowheads="1"/>
                          </a:cNvSpPr>
                        </a:nvSpPr>
                        <a:spPr bwMode="auto">
                          <a:xfrm>
                            <a:off x="416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1" name="Rectangle 107"/>
                          <a:cNvSpPr>
                            <a:spLocks noChangeArrowheads="1"/>
                          </a:cNvSpPr>
                        </a:nvSpPr>
                        <a:spPr bwMode="auto">
                          <a:xfrm>
                            <a:off x="419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2" name="Rectangle 108"/>
                          <a:cNvSpPr>
                            <a:spLocks noChangeArrowheads="1"/>
                          </a:cNvSpPr>
                        </a:nvSpPr>
                        <a:spPr bwMode="auto">
                          <a:xfrm>
                            <a:off x="422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3" name="Rectangle 109"/>
                          <a:cNvSpPr>
                            <a:spLocks noChangeArrowheads="1"/>
                          </a:cNvSpPr>
                        </a:nvSpPr>
                        <a:spPr bwMode="auto">
                          <a:xfrm>
                            <a:off x="4255"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4" name="Rectangle 110"/>
                          <a:cNvSpPr>
                            <a:spLocks noChangeArrowheads="1"/>
                          </a:cNvSpPr>
                        </a:nvSpPr>
                        <a:spPr bwMode="auto">
                          <a:xfrm>
                            <a:off x="4285" y="3339"/>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5" name="Rectangle 111"/>
                          <a:cNvSpPr>
                            <a:spLocks noChangeArrowheads="1"/>
                          </a:cNvSpPr>
                        </a:nvSpPr>
                        <a:spPr bwMode="auto">
                          <a:xfrm>
                            <a:off x="431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6" name="Rectangle 112"/>
                          <a:cNvSpPr>
                            <a:spLocks noChangeArrowheads="1"/>
                          </a:cNvSpPr>
                        </a:nvSpPr>
                        <a:spPr bwMode="auto">
                          <a:xfrm>
                            <a:off x="434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7" name="Rectangle 113"/>
                          <a:cNvSpPr>
                            <a:spLocks noChangeArrowheads="1"/>
                          </a:cNvSpPr>
                        </a:nvSpPr>
                        <a:spPr bwMode="auto">
                          <a:xfrm>
                            <a:off x="437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8" name="Rectangle 114"/>
                          <a:cNvSpPr>
                            <a:spLocks noChangeArrowheads="1"/>
                          </a:cNvSpPr>
                        </a:nvSpPr>
                        <a:spPr bwMode="auto">
                          <a:xfrm>
                            <a:off x="440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39" name="Rectangle 115"/>
                          <a:cNvSpPr>
                            <a:spLocks noChangeArrowheads="1"/>
                          </a:cNvSpPr>
                        </a:nvSpPr>
                        <a:spPr bwMode="auto">
                          <a:xfrm>
                            <a:off x="4434"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0" name="Rectangle 116"/>
                          <a:cNvSpPr>
                            <a:spLocks noChangeArrowheads="1"/>
                          </a:cNvSpPr>
                        </a:nvSpPr>
                        <a:spPr bwMode="auto">
                          <a:xfrm>
                            <a:off x="446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1" name="Rectangle 117"/>
                          <a:cNvSpPr>
                            <a:spLocks noChangeArrowheads="1"/>
                          </a:cNvSpPr>
                        </a:nvSpPr>
                        <a:spPr bwMode="auto">
                          <a:xfrm>
                            <a:off x="449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2" name="Rectangle 118"/>
                          <a:cNvSpPr>
                            <a:spLocks noChangeArrowheads="1"/>
                          </a:cNvSpPr>
                        </a:nvSpPr>
                        <a:spPr bwMode="auto">
                          <a:xfrm>
                            <a:off x="452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3" name="Rectangle 119"/>
                          <a:cNvSpPr>
                            <a:spLocks noChangeArrowheads="1"/>
                          </a:cNvSpPr>
                        </a:nvSpPr>
                        <a:spPr bwMode="auto">
                          <a:xfrm>
                            <a:off x="4553" y="3339"/>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4" name="Rectangle 120"/>
                          <a:cNvSpPr>
                            <a:spLocks noChangeArrowheads="1"/>
                          </a:cNvSpPr>
                        </a:nvSpPr>
                        <a:spPr bwMode="auto">
                          <a:xfrm>
                            <a:off x="130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5" name="Rectangle 121"/>
                          <a:cNvSpPr>
                            <a:spLocks noChangeArrowheads="1"/>
                          </a:cNvSpPr>
                        </a:nvSpPr>
                        <a:spPr bwMode="auto">
                          <a:xfrm>
                            <a:off x="133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6" name="Rectangle 122"/>
                          <a:cNvSpPr>
                            <a:spLocks noChangeArrowheads="1"/>
                          </a:cNvSpPr>
                        </a:nvSpPr>
                        <a:spPr bwMode="auto">
                          <a:xfrm>
                            <a:off x="136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7" name="Rectangle 123"/>
                          <a:cNvSpPr>
                            <a:spLocks noChangeArrowheads="1"/>
                          </a:cNvSpPr>
                        </a:nvSpPr>
                        <a:spPr bwMode="auto">
                          <a:xfrm>
                            <a:off x="139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8" name="Rectangle 124"/>
                          <a:cNvSpPr>
                            <a:spLocks noChangeArrowheads="1"/>
                          </a:cNvSpPr>
                        </a:nvSpPr>
                        <a:spPr bwMode="auto">
                          <a:xfrm>
                            <a:off x="142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49" name="Rectangle 125"/>
                          <a:cNvSpPr>
                            <a:spLocks noChangeArrowheads="1"/>
                          </a:cNvSpPr>
                        </a:nvSpPr>
                        <a:spPr bwMode="auto">
                          <a:xfrm>
                            <a:off x="145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0" name="Rectangle 126"/>
                          <a:cNvSpPr>
                            <a:spLocks noChangeArrowheads="1"/>
                          </a:cNvSpPr>
                        </a:nvSpPr>
                        <a:spPr bwMode="auto">
                          <a:xfrm>
                            <a:off x="1482"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1" name="Rectangle 127"/>
                          <a:cNvSpPr>
                            <a:spLocks noChangeArrowheads="1"/>
                          </a:cNvSpPr>
                        </a:nvSpPr>
                        <a:spPr bwMode="auto">
                          <a:xfrm>
                            <a:off x="151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2" name="Rectangle 128"/>
                          <a:cNvSpPr>
                            <a:spLocks noChangeArrowheads="1"/>
                          </a:cNvSpPr>
                        </a:nvSpPr>
                        <a:spPr bwMode="auto">
                          <a:xfrm>
                            <a:off x="154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3" name="Rectangle 129"/>
                          <a:cNvSpPr>
                            <a:spLocks noChangeArrowheads="1"/>
                          </a:cNvSpPr>
                        </a:nvSpPr>
                        <a:spPr bwMode="auto">
                          <a:xfrm>
                            <a:off x="157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4" name="Rectangle 130"/>
                          <a:cNvSpPr>
                            <a:spLocks noChangeArrowheads="1"/>
                          </a:cNvSpPr>
                        </a:nvSpPr>
                        <a:spPr bwMode="auto">
                          <a:xfrm>
                            <a:off x="160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5" name="Rectangle 131"/>
                          <a:cNvSpPr>
                            <a:spLocks noChangeArrowheads="1"/>
                          </a:cNvSpPr>
                        </a:nvSpPr>
                        <a:spPr bwMode="auto">
                          <a:xfrm>
                            <a:off x="163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6" name="Rectangle 132"/>
                          <a:cNvSpPr>
                            <a:spLocks noChangeArrowheads="1"/>
                          </a:cNvSpPr>
                        </a:nvSpPr>
                        <a:spPr bwMode="auto">
                          <a:xfrm>
                            <a:off x="166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7" name="Rectangle 133"/>
                          <a:cNvSpPr>
                            <a:spLocks noChangeArrowheads="1"/>
                          </a:cNvSpPr>
                        </a:nvSpPr>
                        <a:spPr bwMode="auto">
                          <a:xfrm>
                            <a:off x="169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8" name="Rectangle 134"/>
                          <a:cNvSpPr>
                            <a:spLocks noChangeArrowheads="1"/>
                          </a:cNvSpPr>
                        </a:nvSpPr>
                        <a:spPr bwMode="auto">
                          <a:xfrm>
                            <a:off x="172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59" name="Rectangle 135"/>
                          <a:cNvSpPr>
                            <a:spLocks noChangeArrowheads="1"/>
                          </a:cNvSpPr>
                        </a:nvSpPr>
                        <a:spPr bwMode="auto">
                          <a:xfrm>
                            <a:off x="175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0" name="Rectangle 136"/>
                          <a:cNvSpPr>
                            <a:spLocks noChangeArrowheads="1"/>
                          </a:cNvSpPr>
                        </a:nvSpPr>
                        <a:spPr bwMode="auto">
                          <a:xfrm>
                            <a:off x="178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1" name="Rectangle 137"/>
                          <a:cNvSpPr>
                            <a:spLocks noChangeArrowheads="1"/>
                          </a:cNvSpPr>
                        </a:nvSpPr>
                        <a:spPr bwMode="auto">
                          <a:xfrm>
                            <a:off x="1810"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2" name="Rectangle 138"/>
                          <a:cNvSpPr>
                            <a:spLocks noChangeArrowheads="1"/>
                          </a:cNvSpPr>
                        </a:nvSpPr>
                        <a:spPr bwMode="auto">
                          <a:xfrm>
                            <a:off x="183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3" name="Rectangle 139"/>
                          <a:cNvSpPr>
                            <a:spLocks noChangeArrowheads="1"/>
                          </a:cNvSpPr>
                        </a:nvSpPr>
                        <a:spPr bwMode="auto">
                          <a:xfrm>
                            <a:off x="186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4" name="Rectangle 140"/>
                          <a:cNvSpPr>
                            <a:spLocks noChangeArrowheads="1"/>
                          </a:cNvSpPr>
                        </a:nvSpPr>
                        <a:spPr bwMode="auto">
                          <a:xfrm>
                            <a:off x="189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5" name="Rectangle 141"/>
                          <a:cNvSpPr>
                            <a:spLocks noChangeArrowheads="1"/>
                          </a:cNvSpPr>
                        </a:nvSpPr>
                        <a:spPr bwMode="auto">
                          <a:xfrm>
                            <a:off x="192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6" name="Rectangle 142"/>
                          <a:cNvSpPr>
                            <a:spLocks noChangeArrowheads="1"/>
                          </a:cNvSpPr>
                        </a:nvSpPr>
                        <a:spPr bwMode="auto">
                          <a:xfrm>
                            <a:off x="195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7" name="Rectangle 143"/>
                          <a:cNvSpPr>
                            <a:spLocks noChangeArrowheads="1"/>
                          </a:cNvSpPr>
                        </a:nvSpPr>
                        <a:spPr bwMode="auto">
                          <a:xfrm>
                            <a:off x="198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8" name="Rectangle 144"/>
                          <a:cNvSpPr>
                            <a:spLocks noChangeArrowheads="1"/>
                          </a:cNvSpPr>
                        </a:nvSpPr>
                        <a:spPr bwMode="auto">
                          <a:xfrm>
                            <a:off x="201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69" name="Rectangle 145"/>
                          <a:cNvSpPr>
                            <a:spLocks noChangeArrowheads="1"/>
                          </a:cNvSpPr>
                        </a:nvSpPr>
                        <a:spPr bwMode="auto">
                          <a:xfrm>
                            <a:off x="204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0" name="Rectangle 146"/>
                          <a:cNvSpPr>
                            <a:spLocks noChangeArrowheads="1"/>
                          </a:cNvSpPr>
                        </a:nvSpPr>
                        <a:spPr bwMode="auto">
                          <a:xfrm>
                            <a:off x="207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1" name="Rectangle 147"/>
                          <a:cNvSpPr>
                            <a:spLocks noChangeArrowheads="1"/>
                          </a:cNvSpPr>
                        </a:nvSpPr>
                        <a:spPr bwMode="auto">
                          <a:xfrm>
                            <a:off x="210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2" name="Rectangle 148"/>
                          <a:cNvSpPr>
                            <a:spLocks noChangeArrowheads="1"/>
                          </a:cNvSpPr>
                        </a:nvSpPr>
                        <a:spPr bwMode="auto">
                          <a:xfrm>
                            <a:off x="2138"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3" name="Rectangle 149"/>
                          <a:cNvSpPr>
                            <a:spLocks noChangeArrowheads="1"/>
                          </a:cNvSpPr>
                        </a:nvSpPr>
                        <a:spPr bwMode="auto">
                          <a:xfrm>
                            <a:off x="216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4" name="Rectangle 150"/>
                          <a:cNvSpPr>
                            <a:spLocks noChangeArrowheads="1"/>
                          </a:cNvSpPr>
                        </a:nvSpPr>
                        <a:spPr bwMode="auto">
                          <a:xfrm>
                            <a:off x="219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5" name="Rectangle 151"/>
                          <a:cNvSpPr>
                            <a:spLocks noChangeArrowheads="1"/>
                          </a:cNvSpPr>
                        </a:nvSpPr>
                        <a:spPr bwMode="auto">
                          <a:xfrm>
                            <a:off x="222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6" name="Rectangle 152"/>
                          <a:cNvSpPr>
                            <a:spLocks noChangeArrowheads="1"/>
                          </a:cNvSpPr>
                        </a:nvSpPr>
                        <a:spPr bwMode="auto">
                          <a:xfrm>
                            <a:off x="225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7" name="Rectangle 153"/>
                          <a:cNvSpPr>
                            <a:spLocks noChangeArrowheads="1"/>
                          </a:cNvSpPr>
                        </a:nvSpPr>
                        <a:spPr bwMode="auto">
                          <a:xfrm>
                            <a:off x="228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8" name="Rectangle 154"/>
                          <a:cNvSpPr>
                            <a:spLocks noChangeArrowheads="1"/>
                          </a:cNvSpPr>
                        </a:nvSpPr>
                        <a:spPr bwMode="auto">
                          <a:xfrm>
                            <a:off x="231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79" name="Rectangle 155"/>
                          <a:cNvSpPr>
                            <a:spLocks noChangeArrowheads="1"/>
                          </a:cNvSpPr>
                        </a:nvSpPr>
                        <a:spPr bwMode="auto">
                          <a:xfrm>
                            <a:off x="234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0" name="Rectangle 156"/>
                          <a:cNvSpPr>
                            <a:spLocks noChangeArrowheads="1"/>
                          </a:cNvSpPr>
                        </a:nvSpPr>
                        <a:spPr bwMode="auto">
                          <a:xfrm>
                            <a:off x="237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1" name="Rectangle 157"/>
                          <a:cNvSpPr>
                            <a:spLocks noChangeArrowheads="1"/>
                          </a:cNvSpPr>
                        </a:nvSpPr>
                        <a:spPr bwMode="auto">
                          <a:xfrm>
                            <a:off x="240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2" name="Rectangle 158"/>
                          <a:cNvSpPr>
                            <a:spLocks noChangeArrowheads="1"/>
                          </a:cNvSpPr>
                        </a:nvSpPr>
                        <a:spPr bwMode="auto">
                          <a:xfrm>
                            <a:off x="243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3" name="Rectangle 159"/>
                          <a:cNvSpPr>
                            <a:spLocks noChangeArrowheads="1"/>
                          </a:cNvSpPr>
                        </a:nvSpPr>
                        <a:spPr bwMode="auto">
                          <a:xfrm>
                            <a:off x="246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4" name="Rectangle 160"/>
                          <a:cNvSpPr>
                            <a:spLocks noChangeArrowheads="1"/>
                          </a:cNvSpPr>
                        </a:nvSpPr>
                        <a:spPr bwMode="auto">
                          <a:xfrm>
                            <a:off x="249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5" name="Rectangle 161"/>
                          <a:cNvSpPr>
                            <a:spLocks noChangeArrowheads="1"/>
                          </a:cNvSpPr>
                        </a:nvSpPr>
                        <a:spPr bwMode="auto">
                          <a:xfrm>
                            <a:off x="252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6" name="Rectangle 162"/>
                          <a:cNvSpPr>
                            <a:spLocks noChangeArrowheads="1"/>
                          </a:cNvSpPr>
                        </a:nvSpPr>
                        <a:spPr bwMode="auto">
                          <a:xfrm>
                            <a:off x="255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7" name="Rectangle 163"/>
                          <a:cNvSpPr>
                            <a:spLocks noChangeArrowheads="1"/>
                          </a:cNvSpPr>
                        </a:nvSpPr>
                        <a:spPr bwMode="auto">
                          <a:xfrm>
                            <a:off x="258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8" name="Rectangle 164"/>
                          <a:cNvSpPr>
                            <a:spLocks noChangeArrowheads="1"/>
                          </a:cNvSpPr>
                        </a:nvSpPr>
                        <a:spPr bwMode="auto">
                          <a:xfrm>
                            <a:off x="261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89" name="Rectangle 165"/>
                          <a:cNvSpPr>
                            <a:spLocks noChangeArrowheads="1"/>
                          </a:cNvSpPr>
                        </a:nvSpPr>
                        <a:spPr bwMode="auto">
                          <a:xfrm>
                            <a:off x="264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0" name="Rectangle 166"/>
                          <a:cNvSpPr>
                            <a:spLocks noChangeArrowheads="1"/>
                          </a:cNvSpPr>
                        </a:nvSpPr>
                        <a:spPr bwMode="auto">
                          <a:xfrm>
                            <a:off x="267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1" name="Rectangle 167"/>
                          <a:cNvSpPr>
                            <a:spLocks noChangeArrowheads="1"/>
                          </a:cNvSpPr>
                        </a:nvSpPr>
                        <a:spPr bwMode="auto">
                          <a:xfrm>
                            <a:off x="270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2" name="Rectangle 168"/>
                          <a:cNvSpPr>
                            <a:spLocks noChangeArrowheads="1"/>
                          </a:cNvSpPr>
                        </a:nvSpPr>
                        <a:spPr bwMode="auto">
                          <a:xfrm>
                            <a:off x="273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3" name="Rectangle 169"/>
                          <a:cNvSpPr>
                            <a:spLocks noChangeArrowheads="1"/>
                          </a:cNvSpPr>
                        </a:nvSpPr>
                        <a:spPr bwMode="auto">
                          <a:xfrm>
                            <a:off x="276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4" name="Rectangle 170"/>
                          <a:cNvSpPr>
                            <a:spLocks noChangeArrowheads="1"/>
                          </a:cNvSpPr>
                        </a:nvSpPr>
                        <a:spPr bwMode="auto">
                          <a:xfrm>
                            <a:off x="279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5" name="Rectangle 171"/>
                          <a:cNvSpPr>
                            <a:spLocks noChangeArrowheads="1"/>
                          </a:cNvSpPr>
                        </a:nvSpPr>
                        <a:spPr bwMode="auto">
                          <a:xfrm>
                            <a:off x="282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6" name="Rectangle 172"/>
                          <a:cNvSpPr>
                            <a:spLocks noChangeArrowheads="1"/>
                          </a:cNvSpPr>
                        </a:nvSpPr>
                        <a:spPr bwMode="auto">
                          <a:xfrm>
                            <a:off x="285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7" name="Rectangle 173"/>
                          <a:cNvSpPr>
                            <a:spLocks noChangeArrowheads="1"/>
                          </a:cNvSpPr>
                        </a:nvSpPr>
                        <a:spPr bwMode="auto">
                          <a:xfrm>
                            <a:off x="288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8" name="Rectangle 174"/>
                          <a:cNvSpPr>
                            <a:spLocks noChangeArrowheads="1"/>
                          </a:cNvSpPr>
                        </a:nvSpPr>
                        <a:spPr bwMode="auto">
                          <a:xfrm>
                            <a:off x="291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1999" name="Rectangle 175"/>
                          <a:cNvSpPr>
                            <a:spLocks noChangeArrowheads="1"/>
                          </a:cNvSpPr>
                        </a:nvSpPr>
                        <a:spPr bwMode="auto">
                          <a:xfrm>
                            <a:off x="294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0" name="Rectangle 176"/>
                          <a:cNvSpPr>
                            <a:spLocks noChangeArrowheads="1"/>
                          </a:cNvSpPr>
                        </a:nvSpPr>
                        <a:spPr bwMode="auto">
                          <a:xfrm>
                            <a:off x="297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1" name="Rectangle 177"/>
                          <a:cNvSpPr>
                            <a:spLocks noChangeArrowheads="1"/>
                          </a:cNvSpPr>
                        </a:nvSpPr>
                        <a:spPr bwMode="auto">
                          <a:xfrm>
                            <a:off x="300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2" name="Rectangle 178"/>
                          <a:cNvSpPr>
                            <a:spLocks noChangeArrowheads="1"/>
                          </a:cNvSpPr>
                        </a:nvSpPr>
                        <a:spPr bwMode="auto">
                          <a:xfrm>
                            <a:off x="303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3" name="Rectangle 179"/>
                          <a:cNvSpPr>
                            <a:spLocks noChangeArrowheads="1"/>
                          </a:cNvSpPr>
                        </a:nvSpPr>
                        <a:spPr bwMode="auto">
                          <a:xfrm>
                            <a:off x="306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4" name="Rectangle 180"/>
                          <a:cNvSpPr>
                            <a:spLocks noChangeArrowheads="1"/>
                          </a:cNvSpPr>
                        </a:nvSpPr>
                        <a:spPr bwMode="auto">
                          <a:xfrm>
                            <a:off x="309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5" name="Rectangle 181"/>
                          <a:cNvSpPr>
                            <a:spLocks noChangeArrowheads="1"/>
                          </a:cNvSpPr>
                        </a:nvSpPr>
                        <a:spPr bwMode="auto">
                          <a:xfrm>
                            <a:off x="3122"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6" name="Rectangle 182"/>
                          <a:cNvSpPr>
                            <a:spLocks noChangeArrowheads="1"/>
                          </a:cNvSpPr>
                        </a:nvSpPr>
                        <a:spPr bwMode="auto">
                          <a:xfrm>
                            <a:off x="315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7" name="Rectangle 183"/>
                          <a:cNvSpPr>
                            <a:spLocks noChangeArrowheads="1"/>
                          </a:cNvSpPr>
                        </a:nvSpPr>
                        <a:spPr bwMode="auto">
                          <a:xfrm>
                            <a:off x="318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8" name="Rectangle 184"/>
                          <a:cNvSpPr>
                            <a:spLocks noChangeArrowheads="1"/>
                          </a:cNvSpPr>
                        </a:nvSpPr>
                        <a:spPr bwMode="auto">
                          <a:xfrm>
                            <a:off x="321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09" name="Rectangle 185"/>
                          <a:cNvSpPr>
                            <a:spLocks noChangeArrowheads="1"/>
                          </a:cNvSpPr>
                        </a:nvSpPr>
                        <a:spPr bwMode="auto">
                          <a:xfrm>
                            <a:off x="324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0" name="Rectangle 186"/>
                          <a:cNvSpPr>
                            <a:spLocks noChangeArrowheads="1"/>
                          </a:cNvSpPr>
                        </a:nvSpPr>
                        <a:spPr bwMode="auto">
                          <a:xfrm>
                            <a:off x="3271"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1" name="Rectangle 187"/>
                          <a:cNvSpPr>
                            <a:spLocks noChangeArrowheads="1"/>
                          </a:cNvSpPr>
                        </a:nvSpPr>
                        <a:spPr bwMode="auto">
                          <a:xfrm>
                            <a:off x="330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2" name="Rectangle 188"/>
                          <a:cNvSpPr>
                            <a:spLocks noChangeArrowheads="1"/>
                          </a:cNvSpPr>
                        </a:nvSpPr>
                        <a:spPr bwMode="auto">
                          <a:xfrm>
                            <a:off x="333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3" name="Rectangle 189"/>
                          <a:cNvSpPr>
                            <a:spLocks noChangeArrowheads="1"/>
                          </a:cNvSpPr>
                        </a:nvSpPr>
                        <a:spPr bwMode="auto">
                          <a:xfrm>
                            <a:off x="336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4" name="Rectangle 190"/>
                          <a:cNvSpPr>
                            <a:spLocks noChangeArrowheads="1"/>
                          </a:cNvSpPr>
                        </a:nvSpPr>
                        <a:spPr bwMode="auto">
                          <a:xfrm>
                            <a:off x="339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5" name="Rectangle 191"/>
                          <a:cNvSpPr>
                            <a:spLocks noChangeArrowheads="1"/>
                          </a:cNvSpPr>
                        </a:nvSpPr>
                        <a:spPr bwMode="auto">
                          <a:xfrm>
                            <a:off x="342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6" name="Rectangle 192"/>
                          <a:cNvSpPr>
                            <a:spLocks noChangeArrowheads="1"/>
                          </a:cNvSpPr>
                        </a:nvSpPr>
                        <a:spPr bwMode="auto">
                          <a:xfrm>
                            <a:off x="3450"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7" name="Rectangle 193"/>
                          <a:cNvSpPr>
                            <a:spLocks noChangeArrowheads="1"/>
                          </a:cNvSpPr>
                        </a:nvSpPr>
                        <a:spPr bwMode="auto">
                          <a:xfrm>
                            <a:off x="347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8" name="Rectangle 194"/>
                          <a:cNvSpPr>
                            <a:spLocks noChangeArrowheads="1"/>
                          </a:cNvSpPr>
                        </a:nvSpPr>
                        <a:spPr bwMode="auto">
                          <a:xfrm>
                            <a:off x="350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19" name="Rectangle 195"/>
                          <a:cNvSpPr>
                            <a:spLocks noChangeArrowheads="1"/>
                          </a:cNvSpPr>
                        </a:nvSpPr>
                        <a:spPr bwMode="auto">
                          <a:xfrm>
                            <a:off x="353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0" name="Rectangle 196"/>
                          <a:cNvSpPr>
                            <a:spLocks noChangeArrowheads="1"/>
                          </a:cNvSpPr>
                        </a:nvSpPr>
                        <a:spPr bwMode="auto">
                          <a:xfrm>
                            <a:off x="356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1" name="Rectangle 197"/>
                          <a:cNvSpPr>
                            <a:spLocks noChangeArrowheads="1"/>
                          </a:cNvSpPr>
                        </a:nvSpPr>
                        <a:spPr bwMode="auto">
                          <a:xfrm>
                            <a:off x="3599"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2" name="Rectangle 198"/>
                          <a:cNvSpPr>
                            <a:spLocks noChangeArrowheads="1"/>
                          </a:cNvSpPr>
                        </a:nvSpPr>
                        <a:spPr bwMode="auto">
                          <a:xfrm>
                            <a:off x="3629"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3" name="Rectangle 199"/>
                          <a:cNvSpPr>
                            <a:spLocks noChangeArrowheads="1"/>
                          </a:cNvSpPr>
                        </a:nvSpPr>
                        <a:spPr bwMode="auto">
                          <a:xfrm>
                            <a:off x="365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4" name="Rectangle 200"/>
                          <a:cNvSpPr>
                            <a:spLocks noChangeArrowheads="1"/>
                          </a:cNvSpPr>
                        </a:nvSpPr>
                        <a:spPr bwMode="auto">
                          <a:xfrm>
                            <a:off x="368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5" name="Rectangle 201"/>
                          <a:cNvSpPr>
                            <a:spLocks noChangeArrowheads="1"/>
                          </a:cNvSpPr>
                        </a:nvSpPr>
                        <a:spPr bwMode="auto">
                          <a:xfrm>
                            <a:off x="371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6" name="Rectangle 202"/>
                          <a:cNvSpPr>
                            <a:spLocks noChangeArrowheads="1"/>
                          </a:cNvSpPr>
                        </a:nvSpPr>
                        <a:spPr bwMode="auto">
                          <a:xfrm>
                            <a:off x="374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7" name="Rectangle 203"/>
                          <a:cNvSpPr>
                            <a:spLocks noChangeArrowheads="1"/>
                          </a:cNvSpPr>
                        </a:nvSpPr>
                        <a:spPr bwMode="auto">
                          <a:xfrm>
                            <a:off x="3778"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8" name="Rectangle 204"/>
                          <a:cNvSpPr>
                            <a:spLocks noChangeArrowheads="1"/>
                          </a:cNvSpPr>
                        </a:nvSpPr>
                        <a:spPr bwMode="auto">
                          <a:xfrm>
                            <a:off x="380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29" name="Rectangle 205"/>
                          <a:cNvSpPr>
                            <a:spLocks noChangeArrowheads="1"/>
                          </a:cNvSpPr>
                        </a:nvSpPr>
                        <a:spPr bwMode="auto">
                          <a:xfrm>
                            <a:off x="383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0" name="Rectangle 206"/>
                          <a:cNvSpPr>
                            <a:spLocks noChangeArrowheads="1"/>
                          </a:cNvSpPr>
                        </a:nvSpPr>
                        <a:spPr bwMode="auto">
                          <a:xfrm>
                            <a:off x="386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1" name="Rectangle 207"/>
                          <a:cNvSpPr>
                            <a:spLocks noChangeArrowheads="1"/>
                          </a:cNvSpPr>
                        </a:nvSpPr>
                        <a:spPr bwMode="auto">
                          <a:xfrm>
                            <a:off x="389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2" name="Rectangle 208"/>
                          <a:cNvSpPr>
                            <a:spLocks noChangeArrowheads="1"/>
                          </a:cNvSpPr>
                        </a:nvSpPr>
                        <a:spPr bwMode="auto">
                          <a:xfrm>
                            <a:off x="3927"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3" name="Rectangle 209"/>
                          <a:cNvSpPr>
                            <a:spLocks noChangeArrowheads="1"/>
                          </a:cNvSpPr>
                        </a:nvSpPr>
                        <a:spPr bwMode="auto">
                          <a:xfrm>
                            <a:off x="3957"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grpSp>
                      <a:nvGrpSpPr>
                        <a:cNvPr id="5" name="Group 411"/>
                        <a:cNvGrpSpPr>
                          <a:grpSpLocks/>
                        </a:cNvGrpSpPr>
                      </a:nvGrpSpPr>
                      <a:grpSpPr bwMode="auto">
                        <a:xfrm>
                          <a:off x="1303" y="2326"/>
                          <a:ext cx="3260" cy="680"/>
                          <a:chOff x="1303" y="2326"/>
                          <a:chExt cx="3260" cy="680"/>
                        </a:xfrm>
                      </a:grpSpPr>
                      <a:sp>
                        <a:nvSpPr>
                          <a:cNvPr id="462035" name="Rectangle 211"/>
                          <a:cNvSpPr>
                            <a:spLocks noChangeArrowheads="1"/>
                          </a:cNvSpPr>
                        </a:nvSpPr>
                        <a:spPr bwMode="auto">
                          <a:xfrm>
                            <a:off x="398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6" name="Rectangle 212"/>
                          <a:cNvSpPr>
                            <a:spLocks noChangeArrowheads="1"/>
                          </a:cNvSpPr>
                        </a:nvSpPr>
                        <a:spPr bwMode="auto">
                          <a:xfrm>
                            <a:off x="401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7" name="Rectangle 213"/>
                          <a:cNvSpPr>
                            <a:spLocks noChangeArrowheads="1"/>
                          </a:cNvSpPr>
                        </a:nvSpPr>
                        <a:spPr bwMode="auto">
                          <a:xfrm>
                            <a:off x="404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8" name="Rectangle 214"/>
                          <a:cNvSpPr>
                            <a:spLocks noChangeArrowheads="1"/>
                          </a:cNvSpPr>
                        </a:nvSpPr>
                        <a:spPr bwMode="auto">
                          <a:xfrm>
                            <a:off x="407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39" name="Rectangle 215"/>
                          <a:cNvSpPr>
                            <a:spLocks noChangeArrowheads="1"/>
                          </a:cNvSpPr>
                        </a:nvSpPr>
                        <a:spPr bwMode="auto">
                          <a:xfrm>
                            <a:off x="4106"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0" name="Rectangle 216"/>
                          <a:cNvSpPr>
                            <a:spLocks noChangeArrowheads="1"/>
                          </a:cNvSpPr>
                        </a:nvSpPr>
                        <a:spPr bwMode="auto">
                          <a:xfrm>
                            <a:off x="413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1" name="Rectangle 217"/>
                          <a:cNvSpPr>
                            <a:spLocks noChangeArrowheads="1"/>
                          </a:cNvSpPr>
                        </a:nvSpPr>
                        <a:spPr bwMode="auto">
                          <a:xfrm>
                            <a:off x="416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2" name="Rectangle 218"/>
                          <a:cNvSpPr>
                            <a:spLocks noChangeArrowheads="1"/>
                          </a:cNvSpPr>
                        </a:nvSpPr>
                        <a:spPr bwMode="auto">
                          <a:xfrm>
                            <a:off x="419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3" name="Rectangle 219"/>
                          <a:cNvSpPr>
                            <a:spLocks noChangeArrowheads="1"/>
                          </a:cNvSpPr>
                        </a:nvSpPr>
                        <a:spPr bwMode="auto">
                          <a:xfrm>
                            <a:off x="422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4" name="Rectangle 220"/>
                          <a:cNvSpPr>
                            <a:spLocks noChangeArrowheads="1"/>
                          </a:cNvSpPr>
                        </a:nvSpPr>
                        <a:spPr bwMode="auto">
                          <a:xfrm>
                            <a:off x="4255"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5" name="Rectangle 221"/>
                          <a:cNvSpPr>
                            <a:spLocks noChangeArrowheads="1"/>
                          </a:cNvSpPr>
                        </a:nvSpPr>
                        <a:spPr bwMode="auto">
                          <a:xfrm>
                            <a:off x="4285" y="300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6" name="Rectangle 222"/>
                          <a:cNvSpPr>
                            <a:spLocks noChangeArrowheads="1"/>
                          </a:cNvSpPr>
                        </a:nvSpPr>
                        <a:spPr bwMode="auto">
                          <a:xfrm>
                            <a:off x="431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7" name="Rectangle 223"/>
                          <a:cNvSpPr>
                            <a:spLocks noChangeArrowheads="1"/>
                          </a:cNvSpPr>
                        </a:nvSpPr>
                        <a:spPr bwMode="auto">
                          <a:xfrm>
                            <a:off x="434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8" name="Rectangle 224"/>
                          <a:cNvSpPr>
                            <a:spLocks noChangeArrowheads="1"/>
                          </a:cNvSpPr>
                        </a:nvSpPr>
                        <a:spPr bwMode="auto">
                          <a:xfrm>
                            <a:off x="437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49" name="Rectangle 225"/>
                          <a:cNvSpPr>
                            <a:spLocks noChangeArrowheads="1"/>
                          </a:cNvSpPr>
                        </a:nvSpPr>
                        <a:spPr bwMode="auto">
                          <a:xfrm>
                            <a:off x="440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0" name="Rectangle 226"/>
                          <a:cNvSpPr>
                            <a:spLocks noChangeArrowheads="1"/>
                          </a:cNvSpPr>
                        </a:nvSpPr>
                        <a:spPr bwMode="auto">
                          <a:xfrm>
                            <a:off x="4434"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1" name="Rectangle 227"/>
                          <a:cNvSpPr>
                            <a:spLocks noChangeArrowheads="1"/>
                          </a:cNvSpPr>
                        </a:nvSpPr>
                        <a:spPr bwMode="auto">
                          <a:xfrm>
                            <a:off x="446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2" name="Rectangle 228"/>
                          <a:cNvSpPr>
                            <a:spLocks noChangeArrowheads="1"/>
                          </a:cNvSpPr>
                        </a:nvSpPr>
                        <a:spPr bwMode="auto">
                          <a:xfrm>
                            <a:off x="449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3" name="Rectangle 229"/>
                          <a:cNvSpPr>
                            <a:spLocks noChangeArrowheads="1"/>
                          </a:cNvSpPr>
                        </a:nvSpPr>
                        <a:spPr bwMode="auto">
                          <a:xfrm>
                            <a:off x="452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4" name="Rectangle 230"/>
                          <a:cNvSpPr>
                            <a:spLocks noChangeArrowheads="1"/>
                          </a:cNvSpPr>
                        </a:nvSpPr>
                        <a:spPr bwMode="auto">
                          <a:xfrm>
                            <a:off x="4553" y="300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5" name="Rectangle 231"/>
                          <a:cNvSpPr>
                            <a:spLocks noChangeArrowheads="1"/>
                          </a:cNvSpPr>
                        </a:nvSpPr>
                        <a:spPr bwMode="auto">
                          <a:xfrm>
                            <a:off x="130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6" name="Rectangle 232"/>
                          <a:cNvSpPr>
                            <a:spLocks noChangeArrowheads="1"/>
                          </a:cNvSpPr>
                        </a:nvSpPr>
                        <a:spPr bwMode="auto">
                          <a:xfrm>
                            <a:off x="133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7" name="Rectangle 233"/>
                          <a:cNvSpPr>
                            <a:spLocks noChangeArrowheads="1"/>
                          </a:cNvSpPr>
                        </a:nvSpPr>
                        <a:spPr bwMode="auto">
                          <a:xfrm>
                            <a:off x="136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8" name="Rectangle 234"/>
                          <a:cNvSpPr>
                            <a:spLocks noChangeArrowheads="1"/>
                          </a:cNvSpPr>
                        </a:nvSpPr>
                        <a:spPr bwMode="auto">
                          <a:xfrm>
                            <a:off x="139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59" name="Rectangle 235"/>
                          <a:cNvSpPr>
                            <a:spLocks noChangeArrowheads="1"/>
                          </a:cNvSpPr>
                        </a:nvSpPr>
                        <a:spPr bwMode="auto">
                          <a:xfrm>
                            <a:off x="142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0" name="Rectangle 236"/>
                          <a:cNvSpPr>
                            <a:spLocks noChangeArrowheads="1"/>
                          </a:cNvSpPr>
                        </a:nvSpPr>
                        <a:spPr bwMode="auto">
                          <a:xfrm>
                            <a:off x="145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1" name="Rectangle 237"/>
                          <a:cNvSpPr>
                            <a:spLocks noChangeArrowheads="1"/>
                          </a:cNvSpPr>
                        </a:nvSpPr>
                        <a:spPr bwMode="auto">
                          <a:xfrm>
                            <a:off x="1482" y="2664"/>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2" name="Rectangle 238"/>
                          <a:cNvSpPr>
                            <a:spLocks noChangeArrowheads="1"/>
                          </a:cNvSpPr>
                        </a:nvSpPr>
                        <a:spPr bwMode="auto">
                          <a:xfrm>
                            <a:off x="151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3" name="Rectangle 239"/>
                          <a:cNvSpPr>
                            <a:spLocks noChangeArrowheads="1"/>
                          </a:cNvSpPr>
                        </a:nvSpPr>
                        <a:spPr bwMode="auto">
                          <a:xfrm>
                            <a:off x="154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4" name="Rectangle 240"/>
                          <a:cNvSpPr>
                            <a:spLocks noChangeArrowheads="1"/>
                          </a:cNvSpPr>
                        </a:nvSpPr>
                        <a:spPr bwMode="auto">
                          <a:xfrm>
                            <a:off x="157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5" name="Rectangle 241"/>
                          <a:cNvSpPr>
                            <a:spLocks noChangeArrowheads="1"/>
                          </a:cNvSpPr>
                        </a:nvSpPr>
                        <a:spPr bwMode="auto">
                          <a:xfrm>
                            <a:off x="160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6" name="Rectangle 242"/>
                          <a:cNvSpPr>
                            <a:spLocks noChangeArrowheads="1"/>
                          </a:cNvSpPr>
                        </a:nvSpPr>
                        <a:spPr bwMode="auto">
                          <a:xfrm>
                            <a:off x="163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7" name="Rectangle 243"/>
                          <a:cNvSpPr>
                            <a:spLocks noChangeArrowheads="1"/>
                          </a:cNvSpPr>
                        </a:nvSpPr>
                        <a:spPr bwMode="auto">
                          <a:xfrm>
                            <a:off x="166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8" name="Rectangle 244"/>
                          <a:cNvSpPr>
                            <a:spLocks noChangeArrowheads="1"/>
                          </a:cNvSpPr>
                        </a:nvSpPr>
                        <a:spPr bwMode="auto">
                          <a:xfrm>
                            <a:off x="169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69" name="Rectangle 245"/>
                          <a:cNvSpPr>
                            <a:spLocks noChangeArrowheads="1"/>
                          </a:cNvSpPr>
                        </a:nvSpPr>
                        <a:spPr bwMode="auto">
                          <a:xfrm>
                            <a:off x="172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0" name="Rectangle 246"/>
                          <a:cNvSpPr>
                            <a:spLocks noChangeArrowheads="1"/>
                          </a:cNvSpPr>
                        </a:nvSpPr>
                        <a:spPr bwMode="auto">
                          <a:xfrm>
                            <a:off x="175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1" name="Rectangle 247"/>
                          <a:cNvSpPr>
                            <a:spLocks noChangeArrowheads="1"/>
                          </a:cNvSpPr>
                        </a:nvSpPr>
                        <a:spPr bwMode="auto">
                          <a:xfrm>
                            <a:off x="178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2" name="Rectangle 248"/>
                          <a:cNvSpPr>
                            <a:spLocks noChangeArrowheads="1"/>
                          </a:cNvSpPr>
                        </a:nvSpPr>
                        <a:spPr bwMode="auto">
                          <a:xfrm>
                            <a:off x="1810" y="2664"/>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3" name="Rectangle 249"/>
                          <a:cNvSpPr>
                            <a:spLocks noChangeArrowheads="1"/>
                          </a:cNvSpPr>
                        </a:nvSpPr>
                        <a:spPr bwMode="auto">
                          <a:xfrm>
                            <a:off x="183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4" name="Rectangle 250"/>
                          <a:cNvSpPr>
                            <a:spLocks noChangeArrowheads="1"/>
                          </a:cNvSpPr>
                        </a:nvSpPr>
                        <a:spPr bwMode="auto">
                          <a:xfrm>
                            <a:off x="186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5" name="Rectangle 251"/>
                          <a:cNvSpPr>
                            <a:spLocks noChangeArrowheads="1"/>
                          </a:cNvSpPr>
                        </a:nvSpPr>
                        <a:spPr bwMode="auto">
                          <a:xfrm>
                            <a:off x="189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6" name="Rectangle 252"/>
                          <a:cNvSpPr>
                            <a:spLocks noChangeArrowheads="1"/>
                          </a:cNvSpPr>
                        </a:nvSpPr>
                        <a:spPr bwMode="auto">
                          <a:xfrm>
                            <a:off x="192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7" name="Rectangle 253"/>
                          <a:cNvSpPr>
                            <a:spLocks noChangeArrowheads="1"/>
                          </a:cNvSpPr>
                        </a:nvSpPr>
                        <a:spPr bwMode="auto">
                          <a:xfrm>
                            <a:off x="195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8" name="Rectangle 254"/>
                          <a:cNvSpPr>
                            <a:spLocks noChangeArrowheads="1"/>
                          </a:cNvSpPr>
                        </a:nvSpPr>
                        <a:spPr bwMode="auto">
                          <a:xfrm>
                            <a:off x="198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79" name="Rectangle 255"/>
                          <a:cNvSpPr>
                            <a:spLocks noChangeArrowheads="1"/>
                          </a:cNvSpPr>
                        </a:nvSpPr>
                        <a:spPr bwMode="auto">
                          <a:xfrm>
                            <a:off x="201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0" name="Rectangle 256"/>
                          <a:cNvSpPr>
                            <a:spLocks noChangeArrowheads="1"/>
                          </a:cNvSpPr>
                        </a:nvSpPr>
                        <a:spPr bwMode="auto">
                          <a:xfrm>
                            <a:off x="204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1" name="Rectangle 257"/>
                          <a:cNvSpPr>
                            <a:spLocks noChangeArrowheads="1"/>
                          </a:cNvSpPr>
                        </a:nvSpPr>
                        <a:spPr bwMode="auto">
                          <a:xfrm>
                            <a:off x="207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2" name="Rectangle 258"/>
                          <a:cNvSpPr>
                            <a:spLocks noChangeArrowheads="1"/>
                          </a:cNvSpPr>
                        </a:nvSpPr>
                        <a:spPr bwMode="auto">
                          <a:xfrm>
                            <a:off x="210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3" name="Rectangle 259"/>
                          <a:cNvSpPr>
                            <a:spLocks noChangeArrowheads="1"/>
                          </a:cNvSpPr>
                        </a:nvSpPr>
                        <a:spPr bwMode="auto">
                          <a:xfrm>
                            <a:off x="2138" y="2664"/>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4" name="Rectangle 260"/>
                          <a:cNvSpPr>
                            <a:spLocks noChangeArrowheads="1"/>
                          </a:cNvSpPr>
                        </a:nvSpPr>
                        <a:spPr bwMode="auto">
                          <a:xfrm>
                            <a:off x="216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5" name="Rectangle 261"/>
                          <a:cNvSpPr>
                            <a:spLocks noChangeArrowheads="1"/>
                          </a:cNvSpPr>
                        </a:nvSpPr>
                        <a:spPr bwMode="auto">
                          <a:xfrm>
                            <a:off x="219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6" name="Rectangle 262"/>
                          <a:cNvSpPr>
                            <a:spLocks noChangeArrowheads="1"/>
                          </a:cNvSpPr>
                        </a:nvSpPr>
                        <a:spPr bwMode="auto">
                          <a:xfrm>
                            <a:off x="222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7" name="Rectangle 263"/>
                          <a:cNvSpPr>
                            <a:spLocks noChangeArrowheads="1"/>
                          </a:cNvSpPr>
                        </a:nvSpPr>
                        <a:spPr bwMode="auto">
                          <a:xfrm>
                            <a:off x="225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8" name="Rectangle 264"/>
                          <a:cNvSpPr>
                            <a:spLocks noChangeArrowheads="1"/>
                          </a:cNvSpPr>
                        </a:nvSpPr>
                        <a:spPr bwMode="auto">
                          <a:xfrm>
                            <a:off x="228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89" name="Rectangle 265"/>
                          <a:cNvSpPr>
                            <a:spLocks noChangeArrowheads="1"/>
                          </a:cNvSpPr>
                        </a:nvSpPr>
                        <a:spPr bwMode="auto">
                          <a:xfrm>
                            <a:off x="231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0" name="Rectangle 266"/>
                          <a:cNvSpPr>
                            <a:spLocks noChangeArrowheads="1"/>
                          </a:cNvSpPr>
                        </a:nvSpPr>
                        <a:spPr bwMode="auto">
                          <a:xfrm>
                            <a:off x="234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1" name="Rectangle 267"/>
                          <a:cNvSpPr>
                            <a:spLocks noChangeArrowheads="1"/>
                          </a:cNvSpPr>
                        </a:nvSpPr>
                        <a:spPr bwMode="auto">
                          <a:xfrm>
                            <a:off x="237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2" name="Rectangle 268"/>
                          <a:cNvSpPr>
                            <a:spLocks noChangeArrowheads="1"/>
                          </a:cNvSpPr>
                        </a:nvSpPr>
                        <a:spPr bwMode="auto">
                          <a:xfrm>
                            <a:off x="240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3" name="Rectangle 269"/>
                          <a:cNvSpPr>
                            <a:spLocks noChangeArrowheads="1"/>
                          </a:cNvSpPr>
                        </a:nvSpPr>
                        <a:spPr bwMode="auto">
                          <a:xfrm>
                            <a:off x="243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4" name="Rectangle 270"/>
                          <a:cNvSpPr>
                            <a:spLocks noChangeArrowheads="1"/>
                          </a:cNvSpPr>
                        </a:nvSpPr>
                        <a:spPr bwMode="auto">
                          <a:xfrm>
                            <a:off x="246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5" name="Rectangle 271"/>
                          <a:cNvSpPr>
                            <a:spLocks noChangeArrowheads="1"/>
                          </a:cNvSpPr>
                        </a:nvSpPr>
                        <a:spPr bwMode="auto">
                          <a:xfrm>
                            <a:off x="249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6" name="Rectangle 272"/>
                          <a:cNvSpPr>
                            <a:spLocks noChangeArrowheads="1"/>
                          </a:cNvSpPr>
                        </a:nvSpPr>
                        <a:spPr bwMode="auto">
                          <a:xfrm>
                            <a:off x="252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7" name="Rectangle 273"/>
                          <a:cNvSpPr>
                            <a:spLocks noChangeArrowheads="1"/>
                          </a:cNvSpPr>
                        </a:nvSpPr>
                        <a:spPr bwMode="auto">
                          <a:xfrm>
                            <a:off x="255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8" name="Rectangle 274"/>
                          <a:cNvSpPr>
                            <a:spLocks noChangeArrowheads="1"/>
                          </a:cNvSpPr>
                        </a:nvSpPr>
                        <a:spPr bwMode="auto">
                          <a:xfrm>
                            <a:off x="258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099" name="Rectangle 275"/>
                          <a:cNvSpPr>
                            <a:spLocks noChangeArrowheads="1"/>
                          </a:cNvSpPr>
                        </a:nvSpPr>
                        <a:spPr bwMode="auto">
                          <a:xfrm>
                            <a:off x="261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0" name="Rectangle 276"/>
                          <a:cNvSpPr>
                            <a:spLocks noChangeArrowheads="1"/>
                          </a:cNvSpPr>
                        </a:nvSpPr>
                        <a:spPr bwMode="auto">
                          <a:xfrm>
                            <a:off x="264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1" name="Rectangle 277"/>
                          <a:cNvSpPr>
                            <a:spLocks noChangeArrowheads="1"/>
                          </a:cNvSpPr>
                        </a:nvSpPr>
                        <a:spPr bwMode="auto">
                          <a:xfrm>
                            <a:off x="267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2" name="Rectangle 278"/>
                          <a:cNvSpPr>
                            <a:spLocks noChangeArrowheads="1"/>
                          </a:cNvSpPr>
                        </a:nvSpPr>
                        <a:spPr bwMode="auto">
                          <a:xfrm>
                            <a:off x="270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3" name="Rectangle 279"/>
                          <a:cNvSpPr>
                            <a:spLocks noChangeArrowheads="1"/>
                          </a:cNvSpPr>
                        </a:nvSpPr>
                        <a:spPr bwMode="auto">
                          <a:xfrm>
                            <a:off x="273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4" name="Rectangle 280"/>
                          <a:cNvSpPr>
                            <a:spLocks noChangeArrowheads="1"/>
                          </a:cNvSpPr>
                        </a:nvSpPr>
                        <a:spPr bwMode="auto">
                          <a:xfrm>
                            <a:off x="276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5" name="Rectangle 281"/>
                          <a:cNvSpPr>
                            <a:spLocks noChangeArrowheads="1"/>
                          </a:cNvSpPr>
                        </a:nvSpPr>
                        <a:spPr bwMode="auto">
                          <a:xfrm>
                            <a:off x="279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6" name="Rectangle 282"/>
                          <a:cNvSpPr>
                            <a:spLocks noChangeArrowheads="1"/>
                          </a:cNvSpPr>
                        </a:nvSpPr>
                        <a:spPr bwMode="auto">
                          <a:xfrm>
                            <a:off x="282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7" name="Rectangle 283"/>
                          <a:cNvSpPr>
                            <a:spLocks noChangeArrowheads="1"/>
                          </a:cNvSpPr>
                        </a:nvSpPr>
                        <a:spPr bwMode="auto">
                          <a:xfrm>
                            <a:off x="285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8" name="Rectangle 284"/>
                          <a:cNvSpPr>
                            <a:spLocks noChangeArrowheads="1"/>
                          </a:cNvSpPr>
                        </a:nvSpPr>
                        <a:spPr bwMode="auto">
                          <a:xfrm>
                            <a:off x="288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09" name="Rectangle 285"/>
                          <a:cNvSpPr>
                            <a:spLocks noChangeArrowheads="1"/>
                          </a:cNvSpPr>
                        </a:nvSpPr>
                        <a:spPr bwMode="auto">
                          <a:xfrm>
                            <a:off x="291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0" name="Rectangle 286"/>
                          <a:cNvSpPr>
                            <a:spLocks noChangeArrowheads="1"/>
                          </a:cNvSpPr>
                        </a:nvSpPr>
                        <a:spPr bwMode="auto">
                          <a:xfrm>
                            <a:off x="294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1" name="Rectangle 287"/>
                          <a:cNvSpPr>
                            <a:spLocks noChangeArrowheads="1"/>
                          </a:cNvSpPr>
                        </a:nvSpPr>
                        <a:spPr bwMode="auto">
                          <a:xfrm>
                            <a:off x="297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2" name="Rectangle 288"/>
                          <a:cNvSpPr>
                            <a:spLocks noChangeArrowheads="1"/>
                          </a:cNvSpPr>
                        </a:nvSpPr>
                        <a:spPr bwMode="auto">
                          <a:xfrm>
                            <a:off x="300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3" name="Rectangle 289"/>
                          <a:cNvSpPr>
                            <a:spLocks noChangeArrowheads="1"/>
                          </a:cNvSpPr>
                        </a:nvSpPr>
                        <a:spPr bwMode="auto">
                          <a:xfrm>
                            <a:off x="303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4" name="Rectangle 290"/>
                          <a:cNvSpPr>
                            <a:spLocks noChangeArrowheads="1"/>
                          </a:cNvSpPr>
                        </a:nvSpPr>
                        <a:spPr bwMode="auto">
                          <a:xfrm>
                            <a:off x="306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5" name="Rectangle 291"/>
                          <a:cNvSpPr>
                            <a:spLocks noChangeArrowheads="1"/>
                          </a:cNvSpPr>
                        </a:nvSpPr>
                        <a:spPr bwMode="auto">
                          <a:xfrm>
                            <a:off x="309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6" name="Rectangle 292"/>
                          <a:cNvSpPr>
                            <a:spLocks noChangeArrowheads="1"/>
                          </a:cNvSpPr>
                        </a:nvSpPr>
                        <a:spPr bwMode="auto">
                          <a:xfrm>
                            <a:off x="3122"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7" name="Rectangle 293"/>
                          <a:cNvSpPr>
                            <a:spLocks noChangeArrowheads="1"/>
                          </a:cNvSpPr>
                        </a:nvSpPr>
                        <a:spPr bwMode="auto">
                          <a:xfrm>
                            <a:off x="315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8" name="Rectangle 294"/>
                          <a:cNvSpPr>
                            <a:spLocks noChangeArrowheads="1"/>
                          </a:cNvSpPr>
                        </a:nvSpPr>
                        <a:spPr bwMode="auto">
                          <a:xfrm>
                            <a:off x="318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19" name="Rectangle 295"/>
                          <a:cNvSpPr>
                            <a:spLocks noChangeArrowheads="1"/>
                          </a:cNvSpPr>
                        </a:nvSpPr>
                        <a:spPr bwMode="auto">
                          <a:xfrm>
                            <a:off x="321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0" name="Rectangle 296"/>
                          <a:cNvSpPr>
                            <a:spLocks noChangeArrowheads="1"/>
                          </a:cNvSpPr>
                        </a:nvSpPr>
                        <a:spPr bwMode="auto">
                          <a:xfrm>
                            <a:off x="324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1" name="Rectangle 297"/>
                          <a:cNvSpPr>
                            <a:spLocks noChangeArrowheads="1"/>
                          </a:cNvSpPr>
                        </a:nvSpPr>
                        <a:spPr bwMode="auto">
                          <a:xfrm>
                            <a:off x="3271"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2" name="Rectangle 298"/>
                          <a:cNvSpPr>
                            <a:spLocks noChangeArrowheads="1"/>
                          </a:cNvSpPr>
                        </a:nvSpPr>
                        <a:spPr bwMode="auto">
                          <a:xfrm>
                            <a:off x="330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3" name="Rectangle 299"/>
                          <a:cNvSpPr>
                            <a:spLocks noChangeArrowheads="1"/>
                          </a:cNvSpPr>
                        </a:nvSpPr>
                        <a:spPr bwMode="auto">
                          <a:xfrm>
                            <a:off x="333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4" name="Rectangle 300"/>
                          <a:cNvSpPr>
                            <a:spLocks noChangeArrowheads="1"/>
                          </a:cNvSpPr>
                        </a:nvSpPr>
                        <a:spPr bwMode="auto">
                          <a:xfrm>
                            <a:off x="336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5" name="Rectangle 301"/>
                          <a:cNvSpPr>
                            <a:spLocks noChangeArrowheads="1"/>
                          </a:cNvSpPr>
                        </a:nvSpPr>
                        <a:spPr bwMode="auto">
                          <a:xfrm>
                            <a:off x="339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6" name="Rectangle 302"/>
                          <a:cNvSpPr>
                            <a:spLocks noChangeArrowheads="1"/>
                          </a:cNvSpPr>
                        </a:nvSpPr>
                        <a:spPr bwMode="auto">
                          <a:xfrm>
                            <a:off x="342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7" name="Rectangle 303"/>
                          <a:cNvSpPr>
                            <a:spLocks noChangeArrowheads="1"/>
                          </a:cNvSpPr>
                        </a:nvSpPr>
                        <a:spPr bwMode="auto">
                          <a:xfrm>
                            <a:off x="3450"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8" name="Rectangle 304"/>
                          <a:cNvSpPr>
                            <a:spLocks noChangeArrowheads="1"/>
                          </a:cNvSpPr>
                        </a:nvSpPr>
                        <a:spPr bwMode="auto">
                          <a:xfrm>
                            <a:off x="347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29" name="Rectangle 305"/>
                          <a:cNvSpPr>
                            <a:spLocks noChangeArrowheads="1"/>
                          </a:cNvSpPr>
                        </a:nvSpPr>
                        <a:spPr bwMode="auto">
                          <a:xfrm>
                            <a:off x="350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0" name="Rectangle 306"/>
                          <a:cNvSpPr>
                            <a:spLocks noChangeArrowheads="1"/>
                          </a:cNvSpPr>
                        </a:nvSpPr>
                        <a:spPr bwMode="auto">
                          <a:xfrm>
                            <a:off x="353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1" name="Rectangle 307"/>
                          <a:cNvSpPr>
                            <a:spLocks noChangeArrowheads="1"/>
                          </a:cNvSpPr>
                        </a:nvSpPr>
                        <a:spPr bwMode="auto">
                          <a:xfrm>
                            <a:off x="356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2" name="Rectangle 308"/>
                          <a:cNvSpPr>
                            <a:spLocks noChangeArrowheads="1"/>
                          </a:cNvSpPr>
                        </a:nvSpPr>
                        <a:spPr bwMode="auto">
                          <a:xfrm>
                            <a:off x="3599"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3" name="Rectangle 309"/>
                          <a:cNvSpPr>
                            <a:spLocks noChangeArrowheads="1"/>
                          </a:cNvSpPr>
                        </a:nvSpPr>
                        <a:spPr bwMode="auto">
                          <a:xfrm>
                            <a:off x="3629" y="2664"/>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4" name="Rectangle 310"/>
                          <a:cNvSpPr>
                            <a:spLocks noChangeArrowheads="1"/>
                          </a:cNvSpPr>
                        </a:nvSpPr>
                        <a:spPr bwMode="auto">
                          <a:xfrm>
                            <a:off x="365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5" name="Rectangle 311"/>
                          <a:cNvSpPr>
                            <a:spLocks noChangeArrowheads="1"/>
                          </a:cNvSpPr>
                        </a:nvSpPr>
                        <a:spPr bwMode="auto">
                          <a:xfrm>
                            <a:off x="368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6" name="Rectangle 312"/>
                          <a:cNvSpPr>
                            <a:spLocks noChangeArrowheads="1"/>
                          </a:cNvSpPr>
                        </a:nvSpPr>
                        <a:spPr bwMode="auto">
                          <a:xfrm>
                            <a:off x="371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7" name="Rectangle 313"/>
                          <a:cNvSpPr>
                            <a:spLocks noChangeArrowheads="1"/>
                          </a:cNvSpPr>
                        </a:nvSpPr>
                        <a:spPr bwMode="auto">
                          <a:xfrm>
                            <a:off x="374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8" name="Rectangle 314"/>
                          <a:cNvSpPr>
                            <a:spLocks noChangeArrowheads="1"/>
                          </a:cNvSpPr>
                        </a:nvSpPr>
                        <a:spPr bwMode="auto">
                          <a:xfrm>
                            <a:off x="3778"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39" name="Rectangle 315"/>
                          <a:cNvSpPr>
                            <a:spLocks noChangeArrowheads="1"/>
                          </a:cNvSpPr>
                        </a:nvSpPr>
                        <a:spPr bwMode="auto">
                          <a:xfrm>
                            <a:off x="380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0" name="Rectangle 316"/>
                          <a:cNvSpPr>
                            <a:spLocks noChangeArrowheads="1"/>
                          </a:cNvSpPr>
                        </a:nvSpPr>
                        <a:spPr bwMode="auto">
                          <a:xfrm>
                            <a:off x="383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1" name="Rectangle 317"/>
                          <a:cNvSpPr>
                            <a:spLocks noChangeArrowheads="1"/>
                          </a:cNvSpPr>
                        </a:nvSpPr>
                        <a:spPr bwMode="auto">
                          <a:xfrm>
                            <a:off x="386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2" name="Rectangle 318"/>
                          <a:cNvSpPr>
                            <a:spLocks noChangeArrowheads="1"/>
                          </a:cNvSpPr>
                        </a:nvSpPr>
                        <a:spPr bwMode="auto">
                          <a:xfrm>
                            <a:off x="389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3" name="Rectangle 319"/>
                          <a:cNvSpPr>
                            <a:spLocks noChangeArrowheads="1"/>
                          </a:cNvSpPr>
                        </a:nvSpPr>
                        <a:spPr bwMode="auto">
                          <a:xfrm>
                            <a:off x="3927"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4" name="Rectangle 320"/>
                          <a:cNvSpPr>
                            <a:spLocks noChangeArrowheads="1"/>
                          </a:cNvSpPr>
                        </a:nvSpPr>
                        <a:spPr bwMode="auto">
                          <a:xfrm>
                            <a:off x="3957" y="2664"/>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5" name="Rectangle 321"/>
                          <a:cNvSpPr>
                            <a:spLocks noChangeArrowheads="1"/>
                          </a:cNvSpPr>
                        </a:nvSpPr>
                        <a:spPr bwMode="auto">
                          <a:xfrm>
                            <a:off x="398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6" name="Rectangle 322"/>
                          <a:cNvSpPr>
                            <a:spLocks noChangeArrowheads="1"/>
                          </a:cNvSpPr>
                        </a:nvSpPr>
                        <a:spPr bwMode="auto">
                          <a:xfrm>
                            <a:off x="401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7" name="Rectangle 323"/>
                          <a:cNvSpPr>
                            <a:spLocks noChangeArrowheads="1"/>
                          </a:cNvSpPr>
                        </a:nvSpPr>
                        <a:spPr bwMode="auto">
                          <a:xfrm>
                            <a:off x="404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8" name="Rectangle 324"/>
                          <a:cNvSpPr>
                            <a:spLocks noChangeArrowheads="1"/>
                          </a:cNvSpPr>
                        </a:nvSpPr>
                        <a:spPr bwMode="auto">
                          <a:xfrm>
                            <a:off x="407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49" name="Rectangle 325"/>
                          <a:cNvSpPr>
                            <a:spLocks noChangeArrowheads="1"/>
                          </a:cNvSpPr>
                        </a:nvSpPr>
                        <a:spPr bwMode="auto">
                          <a:xfrm>
                            <a:off x="4106"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0" name="Rectangle 326"/>
                          <a:cNvSpPr>
                            <a:spLocks noChangeArrowheads="1"/>
                          </a:cNvSpPr>
                        </a:nvSpPr>
                        <a:spPr bwMode="auto">
                          <a:xfrm>
                            <a:off x="413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1" name="Rectangle 327"/>
                          <a:cNvSpPr>
                            <a:spLocks noChangeArrowheads="1"/>
                          </a:cNvSpPr>
                        </a:nvSpPr>
                        <a:spPr bwMode="auto">
                          <a:xfrm>
                            <a:off x="416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2" name="Rectangle 328"/>
                          <a:cNvSpPr>
                            <a:spLocks noChangeArrowheads="1"/>
                          </a:cNvSpPr>
                        </a:nvSpPr>
                        <a:spPr bwMode="auto">
                          <a:xfrm>
                            <a:off x="419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3" name="Rectangle 329"/>
                          <a:cNvSpPr>
                            <a:spLocks noChangeArrowheads="1"/>
                          </a:cNvSpPr>
                        </a:nvSpPr>
                        <a:spPr bwMode="auto">
                          <a:xfrm>
                            <a:off x="422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4" name="Rectangle 330"/>
                          <a:cNvSpPr>
                            <a:spLocks noChangeArrowheads="1"/>
                          </a:cNvSpPr>
                        </a:nvSpPr>
                        <a:spPr bwMode="auto">
                          <a:xfrm>
                            <a:off x="4255"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5" name="Rectangle 331"/>
                          <a:cNvSpPr>
                            <a:spLocks noChangeArrowheads="1"/>
                          </a:cNvSpPr>
                        </a:nvSpPr>
                        <a:spPr bwMode="auto">
                          <a:xfrm>
                            <a:off x="4285" y="2664"/>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6" name="Rectangle 332"/>
                          <a:cNvSpPr>
                            <a:spLocks noChangeArrowheads="1"/>
                          </a:cNvSpPr>
                        </a:nvSpPr>
                        <a:spPr bwMode="auto">
                          <a:xfrm>
                            <a:off x="431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7" name="Rectangle 333"/>
                          <a:cNvSpPr>
                            <a:spLocks noChangeArrowheads="1"/>
                          </a:cNvSpPr>
                        </a:nvSpPr>
                        <a:spPr bwMode="auto">
                          <a:xfrm>
                            <a:off x="434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8" name="Rectangle 334"/>
                          <a:cNvSpPr>
                            <a:spLocks noChangeArrowheads="1"/>
                          </a:cNvSpPr>
                        </a:nvSpPr>
                        <a:spPr bwMode="auto">
                          <a:xfrm>
                            <a:off x="437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59" name="Rectangle 335"/>
                          <a:cNvSpPr>
                            <a:spLocks noChangeArrowheads="1"/>
                          </a:cNvSpPr>
                        </a:nvSpPr>
                        <a:spPr bwMode="auto">
                          <a:xfrm>
                            <a:off x="440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0" name="Rectangle 336"/>
                          <a:cNvSpPr>
                            <a:spLocks noChangeArrowheads="1"/>
                          </a:cNvSpPr>
                        </a:nvSpPr>
                        <a:spPr bwMode="auto">
                          <a:xfrm>
                            <a:off x="4434"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1" name="Rectangle 337"/>
                          <a:cNvSpPr>
                            <a:spLocks noChangeArrowheads="1"/>
                          </a:cNvSpPr>
                        </a:nvSpPr>
                        <a:spPr bwMode="auto">
                          <a:xfrm>
                            <a:off x="446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2" name="Rectangle 338"/>
                          <a:cNvSpPr>
                            <a:spLocks noChangeArrowheads="1"/>
                          </a:cNvSpPr>
                        </a:nvSpPr>
                        <a:spPr bwMode="auto">
                          <a:xfrm>
                            <a:off x="449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3" name="Rectangle 339"/>
                          <a:cNvSpPr>
                            <a:spLocks noChangeArrowheads="1"/>
                          </a:cNvSpPr>
                        </a:nvSpPr>
                        <a:spPr bwMode="auto">
                          <a:xfrm>
                            <a:off x="452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4" name="Rectangle 340"/>
                          <a:cNvSpPr>
                            <a:spLocks noChangeArrowheads="1"/>
                          </a:cNvSpPr>
                        </a:nvSpPr>
                        <a:spPr bwMode="auto">
                          <a:xfrm>
                            <a:off x="4553" y="2664"/>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5" name="Rectangle 341"/>
                          <a:cNvSpPr>
                            <a:spLocks noChangeArrowheads="1"/>
                          </a:cNvSpPr>
                        </a:nvSpPr>
                        <a:spPr bwMode="auto">
                          <a:xfrm>
                            <a:off x="130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6" name="Rectangle 342"/>
                          <a:cNvSpPr>
                            <a:spLocks noChangeArrowheads="1"/>
                          </a:cNvSpPr>
                        </a:nvSpPr>
                        <a:spPr bwMode="auto">
                          <a:xfrm>
                            <a:off x="133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7" name="Rectangle 343"/>
                          <a:cNvSpPr>
                            <a:spLocks noChangeArrowheads="1"/>
                          </a:cNvSpPr>
                        </a:nvSpPr>
                        <a:spPr bwMode="auto">
                          <a:xfrm>
                            <a:off x="136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8" name="Rectangle 344"/>
                          <a:cNvSpPr>
                            <a:spLocks noChangeArrowheads="1"/>
                          </a:cNvSpPr>
                        </a:nvSpPr>
                        <a:spPr bwMode="auto">
                          <a:xfrm>
                            <a:off x="139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69" name="Rectangle 345"/>
                          <a:cNvSpPr>
                            <a:spLocks noChangeArrowheads="1"/>
                          </a:cNvSpPr>
                        </a:nvSpPr>
                        <a:spPr bwMode="auto">
                          <a:xfrm>
                            <a:off x="142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0" name="Rectangle 346"/>
                          <a:cNvSpPr>
                            <a:spLocks noChangeArrowheads="1"/>
                          </a:cNvSpPr>
                        </a:nvSpPr>
                        <a:spPr bwMode="auto">
                          <a:xfrm>
                            <a:off x="145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1" name="Rectangle 347"/>
                          <a:cNvSpPr>
                            <a:spLocks noChangeArrowheads="1"/>
                          </a:cNvSpPr>
                        </a:nvSpPr>
                        <a:spPr bwMode="auto">
                          <a:xfrm>
                            <a:off x="1482" y="2326"/>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2" name="Rectangle 348"/>
                          <a:cNvSpPr>
                            <a:spLocks noChangeArrowheads="1"/>
                          </a:cNvSpPr>
                        </a:nvSpPr>
                        <a:spPr bwMode="auto">
                          <a:xfrm>
                            <a:off x="151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3" name="Rectangle 349"/>
                          <a:cNvSpPr>
                            <a:spLocks noChangeArrowheads="1"/>
                          </a:cNvSpPr>
                        </a:nvSpPr>
                        <a:spPr bwMode="auto">
                          <a:xfrm>
                            <a:off x="154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4" name="Rectangle 350"/>
                          <a:cNvSpPr>
                            <a:spLocks noChangeArrowheads="1"/>
                          </a:cNvSpPr>
                        </a:nvSpPr>
                        <a:spPr bwMode="auto">
                          <a:xfrm>
                            <a:off x="157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5" name="Rectangle 351"/>
                          <a:cNvSpPr>
                            <a:spLocks noChangeArrowheads="1"/>
                          </a:cNvSpPr>
                        </a:nvSpPr>
                        <a:spPr bwMode="auto">
                          <a:xfrm>
                            <a:off x="160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6" name="Rectangle 352"/>
                          <a:cNvSpPr>
                            <a:spLocks noChangeArrowheads="1"/>
                          </a:cNvSpPr>
                        </a:nvSpPr>
                        <a:spPr bwMode="auto">
                          <a:xfrm>
                            <a:off x="163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7" name="Rectangle 353"/>
                          <a:cNvSpPr>
                            <a:spLocks noChangeArrowheads="1"/>
                          </a:cNvSpPr>
                        </a:nvSpPr>
                        <a:spPr bwMode="auto">
                          <a:xfrm>
                            <a:off x="166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8" name="Rectangle 354"/>
                          <a:cNvSpPr>
                            <a:spLocks noChangeArrowheads="1"/>
                          </a:cNvSpPr>
                        </a:nvSpPr>
                        <a:spPr bwMode="auto">
                          <a:xfrm>
                            <a:off x="169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79" name="Rectangle 355"/>
                          <a:cNvSpPr>
                            <a:spLocks noChangeArrowheads="1"/>
                          </a:cNvSpPr>
                        </a:nvSpPr>
                        <a:spPr bwMode="auto">
                          <a:xfrm>
                            <a:off x="172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0" name="Rectangle 356"/>
                          <a:cNvSpPr>
                            <a:spLocks noChangeArrowheads="1"/>
                          </a:cNvSpPr>
                        </a:nvSpPr>
                        <a:spPr bwMode="auto">
                          <a:xfrm>
                            <a:off x="175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1" name="Rectangle 357"/>
                          <a:cNvSpPr>
                            <a:spLocks noChangeArrowheads="1"/>
                          </a:cNvSpPr>
                        </a:nvSpPr>
                        <a:spPr bwMode="auto">
                          <a:xfrm>
                            <a:off x="178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2" name="Rectangle 358"/>
                          <a:cNvSpPr>
                            <a:spLocks noChangeArrowheads="1"/>
                          </a:cNvSpPr>
                        </a:nvSpPr>
                        <a:spPr bwMode="auto">
                          <a:xfrm>
                            <a:off x="1810" y="2326"/>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3" name="Rectangle 359"/>
                          <a:cNvSpPr>
                            <a:spLocks noChangeArrowheads="1"/>
                          </a:cNvSpPr>
                        </a:nvSpPr>
                        <a:spPr bwMode="auto">
                          <a:xfrm>
                            <a:off x="183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4" name="Rectangle 360"/>
                          <a:cNvSpPr>
                            <a:spLocks noChangeArrowheads="1"/>
                          </a:cNvSpPr>
                        </a:nvSpPr>
                        <a:spPr bwMode="auto">
                          <a:xfrm>
                            <a:off x="186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5" name="Rectangle 361"/>
                          <a:cNvSpPr>
                            <a:spLocks noChangeArrowheads="1"/>
                          </a:cNvSpPr>
                        </a:nvSpPr>
                        <a:spPr bwMode="auto">
                          <a:xfrm>
                            <a:off x="189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6" name="Rectangle 362"/>
                          <a:cNvSpPr>
                            <a:spLocks noChangeArrowheads="1"/>
                          </a:cNvSpPr>
                        </a:nvSpPr>
                        <a:spPr bwMode="auto">
                          <a:xfrm>
                            <a:off x="192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7" name="Rectangle 363"/>
                          <a:cNvSpPr>
                            <a:spLocks noChangeArrowheads="1"/>
                          </a:cNvSpPr>
                        </a:nvSpPr>
                        <a:spPr bwMode="auto">
                          <a:xfrm>
                            <a:off x="195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8" name="Rectangle 364"/>
                          <a:cNvSpPr>
                            <a:spLocks noChangeArrowheads="1"/>
                          </a:cNvSpPr>
                        </a:nvSpPr>
                        <a:spPr bwMode="auto">
                          <a:xfrm>
                            <a:off x="198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89" name="Rectangle 365"/>
                          <a:cNvSpPr>
                            <a:spLocks noChangeArrowheads="1"/>
                          </a:cNvSpPr>
                        </a:nvSpPr>
                        <a:spPr bwMode="auto">
                          <a:xfrm>
                            <a:off x="201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0" name="Rectangle 366"/>
                          <a:cNvSpPr>
                            <a:spLocks noChangeArrowheads="1"/>
                          </a:cNvSpPr>
                        </a:nvSpPr>
                        <a:spPr bwMode="auto">
                          <a:xfrm>
                            <a:off x="204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1" name="Rectangle 367"/>
                          <a:cNvSpPr>
                            <a:spLocks noChangeArrowheads="1"/>
                          </a:cNvSpPr>
                        </a:nvSpPr>
                        <a:spPr bwMode="auto">
                          <a:xfrm>
                            <a:off x="207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2" name="Rectangle 368"/>
                          <a:cNvSpPr>
                            <a:spLocks noChangeArrowheads="1"/>
                          </a:cNvSpPr>
                        </a:nvSpPr>
                        <a:spPr bwMode="auto">
                          <a:xfrm>
                            <a:off x="210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3" name="Rectangle 369"/>
                          <a:cNvSpPr>
                            <a:spLocks noChangeArrowheads="1"/>
                          </a:cNvSpPr>
                        </a:nvSpPr>
                        <a:spPr bwMode="auto">
                          <a:xfrm>
                            <a:off x="2138" y="2326"/>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4" name="Rectangle 370"/>
                          <a:cNvSpPr>
                            <a:spLocks noChangeArrowheads="1"/>
                          </a:cNvSpPr>
                        </a:nvSpPr>
                        <a:spPr bwMode="auto">
                          <a:xfrm>
                            <a:off x="216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5" name="Rectangle 371"/>
                          <a:cNvSpPr>
                            <a:spLocks noChangeArrowheads="1"/>
                          </a:cNvSpPr>
                        </a:nvSpPr>
                        <a:spPr bwMode="auto">
                          <a:xfrm>
                            <a:off x="219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6" name="Rectangle 372"/>
                          <a:cNvSpPr>
                            <a:spLocks noChangeArrowheads="1"/>
                          </a:cNvSpPr>
                        </a:nvSpPr>
                        <a:spPr bwMode="auto">
                          <a:xfrm>
                            <a:off x="222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7" name="Rectangle 373"/>
                          <a:cNvSpPr>
                            <a:spLocks noChangeArrowheads="1"/>
                          </a:cNvSpPr>
                        </a:nvSpPr>
                        <a:spPr bwMode="auto">
                          <a:xfrm>
                            <a:off x="225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8" name="Rectangle 374"/>
                          <a:cNvSpPr>
                            <a:spLocks noChangeArrowheads="1"/>
                          </a:cNvSpPr>
                        </a:nvSpPr>
                        <a:spPr bwMode="auto">
                          <a:xfrm>
                            <a:off x="228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199" name="Rectangle 375"/>
                          <a:cNvSpPr>
                            <a:spLocks noChangeArrowheads="1"/>
                          </a:cNvSpPr>
                        </a:nvSpPr>
                        <a:spPr bwMode="auto">
                          <a:xfrm>
                            <a:off x="231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0" name="Rectangle 376"/>
                          <a:cNvSpPr>
                            <a:spLocks noChangeArrowheads="1"/>
                          </a:cNvSpPr>
                        </a:nvSpPr>
                        <a:spPr bwMode="auto">
                          <a:xfrm>
                            <a:off x="234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1" name="Rectangle 377"/>
                          <a:cNvSpPr>
                            <a:spLocks noChangeArrowheads="1"/>
                          </a:cNvSpPr>
                        </a:nvSpPr>
                        <a:spPr bwMode="auto">
                          <a:xfrm>
                            <a:off x="237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2" name="Rectangle 378"/>
                          <a:cNvSpPr>
                            <a:spLocks noChangeArrowheads="1"/>
                          </a:cNvSpPr>
                        </a:nvSpPr>
                        <a:spPr bwMode="auto">
                          <a:xfrm>
                            <a:off x="240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3" name="Rectangle 379"/>
                          <a:cNvSpPr>
                            <a:spLocks noChangeArrowheads="1"/>
                          </a:cNvSpPr>
                        </a:nvSpPr>
                        <a:spPr bwMode="auto">
                          <a:xfrm>
                            <a:off x="243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4" name="Rectangle 380"/>
                          <a:cNvSpPr>
                            <a:spLocks noChangeArrowheads="1"/>
                          </a:cNvSpPr>
                        </a:nvSpPr>
                        <a:spPr bwMode="auto">
                          <a:xfrm>
                            <a:off x="246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5" name="Rectangle 381"/>
                          <a:cNvSpPr>
                            <a:spLocks noChangeArrowheads="1"/>
                          </a:cNvSpPr>
                        </a:nvSpPr>
                        <a:spPr bwMode="auto">
                          <a:xfrm>
                            <a:off x="249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6" name="Rectangle 382"/>
                          <a:cNvSpPr>
                            <a:spLocks noChangeArrowheads="1"/>
                          </a:cNvSpPr>
                        </a:nvSpPr>
                        <a:spPr bwMode="auto">
                          <a:xfrm>
                            <a:off x="252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7" name="Rectangle 383"/>
                          <a:cNvSpPr>
                            <a:spLocks noChangeArrowheads="1"/>
                          </a:cNvSpPr>
                        </a:nvSpPr>
                        <a:spPr bwMode="auto">
                          <a:xfrm>
                            <a:off x="255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8" name="Rectangle 384"/>
                          <a:cNvSpPr>
                            <a:spLocks noChangeArrowheads="1"/>
                          </a:cNvSpPr>
                        </a:nvSpPr>
                        <a:spPr bwMode="auto">
                          <a:xfrm>
                            <a:off x="258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09" name="Rectangle 385"/>
                          <a:cNvSpPr>
                            <a:spLocks noChangeArrowheads="1"/>
                          </a:cNvSpPr>
                        </a:nvSpPr>
                        <a:spPr bwMode="auto">
                          <a:xfrm>
                            <a:off x="261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0" name="Rectangle 386"/>
                          <a:cNvSpPr>
                            <a:spLocks noChangeArrowheads="1"/>
                          </a:cNvSpPr>
                        </a:nvSpPr>
                        <a:spPr bwMode="auto">
                          <a:xfrm>
                            <a:off x="264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1" name="Rectangle 387"/>
                          <a:cNvSpPr>
                            <a:spLocks noChangeArrowheads="1"/>
                          </a:cNvSpPr>
                        </a:nvSpPr>
                        <a:spPr bwMode="auto">
                          <a:xfrm>
                            <a:off x="267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2" name="Rectangle 388"/>
                          <a:cNvSpPr>
                            <a:spLocks noChangeArrowheads="1"/>
                          </a:cNvSpPr>
                        </a:nvSpPr>
                        <a:spPr bwMode="auto">
                          <a:xfrm>
                            <a:off x="270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3" name="Rectangle 389"/>
                          <a:cNvSpPr>
                            <a:spLocks noChangeArrowheads="1"/>
                          </a:cNvSpPr>
                        </a:nvSpPr>
                        <a:spPr bwMode="auto">
                          <a:xfrm>
                            <a:off x="273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4" name="Rectangle 390"/>
                          <a:cNvSpPr>
                            <a:spLocks noChangeArrowheads="1"/>
                          </a:cNvSpPr>
                        </a:nvSpPr>
                        <a:spPr bwMode="auto">
                          <a:xfrm>
                            <a:off x="276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5" name="Rectangle 391"/>
                          <a:cNvSpPr>
                            <a:spLocks noChangeArrowheads="1"/>
                          </a:cNvSpPr>
                        </a:nvSpPr>
                        <a:spPr bwMode="auto">
                          <a:xfrm>
                            <a:off x="279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6" name="Rectangle 392"/>
                          <a:cNvSpPr>
                            <a:spLocks noChangeArrowheads="1"/>
                          </a:cNvSpPr>
                        </a:nvSpPr>
                        <a:spPr bwMode="auto">
                          <a:xfrm>
                            <a:off x="282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7" name="Rectangle 393"/>
                          <a:cNvSpPr>
                            <a:spLocks noChangeArrowheads="1"/>
                          </a:cNvSpPr>
                        </a:nvSpPr>
                        <a:spPr bwMode="auto">
                          <a:xfrm>
                            <a:off x="285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8" name="Rectangle 394"/>
                          <a:cNvSpPr>
                            <a:spLocks noChangeArrowheads="1"/>
                          </a:cNvSpPr>
                        </a:nvSpPr>
                        <a:spPr bwMode="auto">
                          <a:xfrm>
                            <a:off x="288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19" name="Rectangle 395"/>
                          <a:cNvSpPr>
                            <a:spLocks noChangeArrowheads="1"/>
                          </a:cNvSpPr>
                        </a:nvSpPr>
                        <a:spPr bwMode="auto">
                          <a:xfrm>
                            <a:off x="291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0" name="Rectangle 396"/>
                          <a:cNvSpPr>
                            <a:spLocks noChangeArrowheads="1"/>
                          </a:cNvSpPr>
                        </a:nvSpPr>
                        <a:spPr bwMode="auto">
                          <a:xfrm>
                            <a:off x="294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1" name="Rectangle 397"/>
                          <a:cNvSpPr>
                            <a:spLocks noChangeArrowheads="1"/>
                          </a:cNvSpPr>
                        </a:nvSpPr>
                        <a:spPr bwMode="auto">
                          <a:xfrm>
                            <a:off x="297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2" name="Rectangle 398"/>
                          <a:cNvSpPr>
                            <a:spLocks noChangeArrowheads="1"/>
                          </a:cNvSpPr>
                        </a:nvSpPr>
                        <a:spPr bwMode="auto">
                          <a:xfrm>
                            <a:off x="300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3" name="Rectangle 399"/>
                          <a:cNvSpPr>
                            <a:spLocks noChangeArrowheads="1"/>
                          </a:cNvSpPr>
                        </a:nvSpPr>
                        <a:spPr bwMode="auto">
                          <a:xfrm>
                            <a:off x="303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4" name="Rectangle 400"/>
                          <a:cNvSpPr>
                            <a:spLocks noChangeArrowheads="1"/>
                          </a:cNvSpPr>
                        </a:nvSpPr>
                        <a:spPr bwMode="auto">
                          <a:xfrm>
                            <a:off x="306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5" name="Rectangle 401"/>
                          <a:cNvSpPr>
                            <a:spLocks noChangeArrowheads="1"/>
                          </a:cNvSpPr>
                        </a:nvSpPr>
                        <a:spPr bwMode="auto">
                          <a:xfrm>
                            <a:off x="309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6" name="Rectangle 402"/>
                          <a:cNvSpPr>
                            <a:spLocks noChangeArrowheads="1"/>
                          </a:cNvSpPr>
                        </a:nvSpPr>
                        <a:spPr bwMode="auto">
                          <a:xfrm>
                            <a:off x="3122"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7" name="Rectangle 403"/>
                          <a:cNvSpPr>
                            <a:spLocks noChangeArrowheads="1"/>
                          </a:cNvSpPr>
                        </a:nvSpPr>
                        <a:spPr bwMode="auto">
                          <a:xfrm>
                            <a:off x="315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8" name="Rectangle 404"/>
                          <a:cNvSpPr>
                            <a:spLocks noChangeArrowheads="1"/>
                          </a:cNvSpPr>
                        </a:nvSpPr>
                        <a:spPr bwMode="auto">
                          <a:xfrm>
                            <a:off x="318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29" name="Rectangle 405"/>
                          <a:cNvSpPr>
                            <a:spLocks noChangeArrowheads="1"/>
                          </a:cNvSpPr>
                        </a:nvSpPr>
                        <a:spPr bwMode="auto">
                          <a:xfrm>
                            <a:off x="321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0" name="Rectangle 406"/>
                          <a:cNvSpPr>
                            <a:spLocks noChangeArrowheads="1"/>
                          </a:cNvSpPr>
                        </a:nvSpPr>
                        <a:spPr bwMode="auto">
                          <a:xfrm>
                            <a:off x="324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1" name="Rectangle 407"/>
                          <a:cNvSpPr>
                            <a:spLocks noChangeArrowheads="1"/>
                          </a:cNvSpPr>
                        </a:nvSpPr>
                        <a:spPr bwMode="auto">
                          <a:xfrm>
                            <a:off x="3271"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2" name="Rectangle 408"/>
                          <a:cNvSpPr>
                            <a:spLocks noChangeArrowheads="1"/>
                          </a:cNvSpPr>
                        </a:nvSpPr>
                        <a:spPr bwMode="auto">
                          <a:xfrm>
                            <a:off x="330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3" name="Rectangle 409"/>
                          <a:cNvSpPr>
                            <a:spLocks noChangeArrowheads="1"/>
                          </a:cNvSpPr>
                        </a:nvSpPr>
                        <a:spPr bwMode="auto">
                          <a:xfrm>
                            <a:off x="333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4" name="Rectangle 410"/>
                          <a:cNvSpPr>
                            <a:spLocks noChangeArrowheads="1"/>
                          </a:cNvSpPr>
                        </a:nvSpPr>
                        <a:spPr bwMode="auto">
                          <a:xfrm>
                            <a:off x="336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grpSp>
                      <a:nvGrpSpPr>
                        <a:cNvPr id="6" name="Group 612"/>
                        <a:cNvGrpSpPr>
                          <a:grpSpLocks/>
                        </a:cNvGrpSpPr>
                      </a:nvGrpSpPr>
                      <a:grpSpPr bwMode="auto">
                        <a:xfrm>
                          <a:off x="1303" y="1651"/>
                          <a:ext cx="3260" cy="680"/>
                          <a:chOff x="1303" y="1651"/>
                          <a:chExt cx="3260" cy="680"/>
                        </a:xfrm>
                      </a:grpSpPr>
                      <a:sp>
                        <a:nvSpPr>
                          <a:cNvPr id="462236" name="Rectangle 412"/>
                          <a:cNvSpPr>
                            <a:spLocks noChangeArrowheads="1"/>
                          </a:cNvSpPr>
                        </a:nvSpPr>
                        <a:spPr bwMode="auto">
                          <a:xfrm>
                            <a:off x="339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7" name="Rectangle 413"/>
                          <a:cNvSpPr>
                            <a:spLocks noChangeArrowheads="1"/>
                          </a:cNvSpPr>
                        </a:nvSpPr>
                        <a:spPr bwMode="auto">
                          <a:xfrm>
                            <a:off x="342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8" name="Rectangle 414"/>
                          <a:cNvSpPr>
                            <a:spLocks noChangeArrowheads="1"/>
                          </a:cNvSpPr>
                        </a:nvSpPr>
                        <a:spPr bwMode="auto">
                          <a:xfrm>
                            <a:off x="3450"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39" name="Rectangle 415"/>
                          <a:cNvSpPr>
                            <a:spLocks noChangeArrowheads="1"/>
                          </a:cNvSpPr>
                        </a:nvSpPr>
                        <a:spPr bwMode="auto">
                          <a:xfrm>
                            <a:off x="347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0" name="Rectangle 416"/>
                          <a:cNvSpPr>
                            <a:spLocks noChangeArrowheads="1"/>
                          </a:cNvSpPr>
                        </a:nvSpPr>
                        <a:spPr bwMode="auto">
                          <a:xfrm>
                            <a:off x="350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1" name="Rectangle 417"/>
                          <a:cNvSpPr>
                            <a:spLocks noChangeArrowheads="1"/>
                          </a:cNvSpPr>
                        </a:nvSpPr>
                        <a:spPr bwMode="auto">
                          <a:xfrm>
                            <a:off x="353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2" name="Rectangle 418"/>
                          <a:cNvSpPr>
                            <a:spLocks noChangeArrowheads="1"/>
                          </a:cNvSpPr>
                        </a:nvSpPr>
                        <a:spPr bwMode="auto">
                          <a:xfrm>
                            <a:off x="356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3" name="Rectangle 419"/>
                          <a:cNvSpPr>
                            <a:spLocks noChangeArrowheads="1"/>
                          </a:cNvSpPr>
                        </a:nvSpPr>
                        <a:spPr bwMode="auto">
                          <a:xfrm>
                            <a:off x="3599"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4" name="Rectangle 420"/>
                          <a:cNvSpPr>
                            <a:spLocks noChangeArrowheads="1"/>
                          </a:cNvSpPr>
                        </a:nvSpPr>
                        <a:spPr bwMode="auto">
                          <a:xfrm>
                            <a:off x="3629" y="2326"/>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5" name="Rectangle 421"/>
                          <a:cNvSpPr>
                            <a:spLocks noChangeArrowheads="1"/>
                          </a:cNvSpPr>
                        </a:nvSpPr>
                        <a:spPr bwMode="auto">
                          <a:xfrm>
                            <a:off x="365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6" name="Rectangle 422"/>
                          <a:cNvSpPr>
                            <a:spLocks noChangeArrowheads="1"/>
                          </a:cNvSpPr>
                        </a:nvSpPr>
                        <a:spPr bwMode="auto">
                          <a:xfrm>
                            <a:off x="368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7" name="Rectangle 423"/>
                          <a:cNvSpPr>
                            <a:spLocks noChangeArrowheads="1"/>
                          </a:cNvSpPr>
                        </a:nvSpPr>
                        <a:spPr bwMode="auto">
                          <a:xfrm>
                            <a:off x="371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8" name="Rectangle 424"/>
                          <a:cNvSpPr>
                            <a:spLocks noChangeArrowheads="1"/>
                          </a:cNvSpPr>
                        </a:nvSpPr>
                        <a:spPr bwMode="auto">
                          <a:xfrm>
                            <a:off x="374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49" name="Rectangle 425"/>
                          <a:cNvSpPr>
                            <a:spLocks noChangeArrowheads="1"/>
                          </a:cNvSpPr>
                        </a:nvSpPr>
                        <a:spPr bwMode="auto">
                          <a:xfrm>
                            <a:off x="3778"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0" name="Rectangle 426"/>
                          <a:cNvSpPr>
                            <a:spLocks noChangeArrowheads="1"/>
                          </a:cNvSpPr>
                        </a:nvSpPr>
                        <a:spPr bwMode="auto">
                          <a:xfrm>
                            <a:off x="380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1" name="Rectangle 427"/>
                          <a:cNvSpPr>
                            <a:spLocks noChangeArrowheads="1"/>
                          </a:cNvSpPr>
                        </a:nvSpPr>
                        <a:spPr bwMode="auto">
                          <a:xfrm>
                            <a:off x="383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2" name="Rectangle 428"/>
                          <a:cNvSpPr>
                            <a:spLocks noChangeArrowheads="1"/>
                          </a:cNvSpPr>
                        </a:nvSpPr>
                        <a:spPr bwMode="auto">
                          <a:xfrm>
                            <a:off x="386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3" name="Rectangle 429"/>
                          <a:cNvSpPr>
                            <a:spLocks noChangeArrowheads="1"/>
                          </a:cNvSpPr>
                        </a:nvSpPr>
                        <a:spPr bwMode="auto">
                          <a:xfrm>
                            <a:off x="389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4" name="Rectangle 430"/>
                          <a:cNvSpPr>
                            <a:spLocks noChangeArrowheads="1"/>
                          </a:cNvSpPr>
                        </a:nvSpPr>
                        <a:spPr bwMode="auto">
                          <a:xfrm>
                            <a:off x="3927"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5" name="Rectangle 431"/>
                          <a:cNvSpPr>
                            <a:spLocks noChangeArrowheads="1"/>
                          </a:cNvSpPr>
                        </a:nvSpPr>
                        <a:spPr bwMode="auto">
                          <a:xfrm>
                            <a:off x="3957" y="2326"/>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6" name="Rectangle 432"/>
                          <a:cNvSpPr>
                            <a:spLocks noChangeArrowheads="1"/>
                          </a:cNvSpPr>
                        </a:nvSpPr>
                        <a:spPr bwMode="auto">
                          <a:xfrm>
                            <a:off x="398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7" name="Rectangle 433"/>
                          <a:cNvSpPr>
                            <a:spLocks noChangeArrowheads="1"/>
                          </a:cNvSpPr>
                        </a:nvSpPr>
                        <a:spPr bwMode="auto">
                          <a:xfrm>
                            <a:off x="401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8" name="Rectangle 434"/>
                          <a:cNvSpPr>
                            <a:spLocks noChangeArrowheads="1"/>
                          </a:cNvSpPr>
                        </a:nvSpPr>
                        <a:spPr bwMode="auto">
                          <a:xfrm>
                            <a:off x="404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59" name="Rectangle 435"/>
                          <a:cNvSpPr>
                            <a:spLocks noChangeArrowheads="1"/>
                          </a:cNvSpPr>
                        </a:nvSpPr>
                        <a:spPr bwMode="auto">
                          <a:xfrm>
                            <a:off x="407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0" name="Rectangle 436"/>
                          <a:cNvSpPr>
                            <a:spLocks noChangeArrowheads="1"/>
                          </a:cNvSpPr>
                        </a:nvSpPr>
                        <a:spPr bwMode="auto">
                          <a:xfrm>
                            <a:off x="4106"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1" name="Rectangle 437"/>
                          <a:cNvSpPr>
                            <a:spLocks noChangeArrowheads="1"/>
                          </a:cNvSpPr>
                        </a:nvSpPr>
                        <a:spPr bwMode="auto">
                          <a:xfrm>
                            <a:off x="413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2" name="Rectangle 438"/>
                          <a:cNvSpPr>
                            <a:spLocks noChangeArrowheads="1"/>
                          </a:cNvSpPr>
                        </a:nvSpPr>
                        <a:spPr bwMode="auto">
                          <a:xfrm>
                            <a:off x="416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3" name="Rectangle 439"/>
                          <a:cNvSpPr>
                            <a:spLocks noChangeArrowheads="1"/>
                          </a:cNvSpPr>
                        </a:nvSpPr>
                        <a:spPr bwMode="auto">
                          <a:xfrm>
                            <a:off x="419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4" name="Rectangle 440"/>
                          <a:cNvSpPr>
                            <a:spLocks noChangeArrowheads="1"/>
                          </a:cNvSpPr>
                        </a:nvSpPr>
                        <a:spPr bwMode="auto">
                          <a:xfrm>
                            <a:off x="422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5" name="Rectangle 441"/>
                          <a:cNvSpPr>
                            <a:spLocks noChangeArrowheads="1"/>
                          </a:cNvSpPr>
                        </a:nvSpPr>
                        <a:spPr bwMode="auto">
                          <a:xfrm>
                            <a:off x="4255"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6" name="Rectangle 442"/>
                          <a:cNvSpPr>
                            <a:spLocks noChangeArrowheads="1"/>
                          </a:cNvSpPr>
                        </a:nvSpPr>
                        <a:spPr bwMode="auto">
                          <a:xfrm>
                            <a:off x="4285" y="2326"/>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7" name="Rectangle 443"/>
                          <a:cNvSpPr>
                            <a:spLocks noChangeArrowheads="1"/>
                          </a:cNvSpPr>
                        </a:nvSpPr>
                        <a:spPr bwMode="auto">
                          <a:xfrm>
                            <a:off x="431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8" name="Rectangle 444"/>
                          <a:cNvSpPr>
                            <a:spLocks noChangeArrowheads="1"/>
                          </a:cNvSpPr>
                        </a:nvSpPr>
                        <a:spPr bwMode="auto">
                          <a:xfrm>
                            <a:off x="434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69" name="Rectangle 445"/>
                          <a:cNvSpPr>
                            <a:spLocks noChangeArrowheads="1"/>
                          </a:cNvSpPr>
                        </a:nvSpPr>
                        <a:spPr bwMode="auto">
                          <a:xfrm>
                            <a:off x="437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0" name="Rectangle 446"/>
                          <a:cNvSpPr>
                            <a:spLocks noChangeArrowheads="1"/>
                          </a:cNvSpPr>
                        </a:nvSpPr>
                        <a:spPr bwMode="auto">
                          <a:xfrm>
                            <a:off x="440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1" name="Rectangle 447"/>
                          <a:cNvSpPr>
                            <a:spLocks noChangeArrowheads="1"/>
                          </a:cNvSpPr>
                        </a:nvSpPr>
                        <a:spPr bwMode="auto">
                          <a:xfrm>
                            <a:off x="4434"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2" name="Rectangle 448"/>
                          <a:cNvSpPr>
                            <a:spLocks noChangeArrowheads="1"/>
                          </a:cNvSpPr>
                        </a:nvSpPr>
                        <a:spPr bwMode="auto">
                          <a:xfrm>
                            <a:off x="446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3" name="Rectangle 449"/>
                          <a:cNvSpPr>
                            <a:spLocks noChangeArrowheads="1"/>
                          </a:cNvSpPr>
                        </a:nvSpPr>
                        <a:spPr bwMode="auto">
                          <a:xfrm>
                            <a:off x="449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4" name="Rectangle 450"/>
                          <a:cNvSpPr>
                            <a:spLocks noChangeArrowheads="1"/>
                          </a:cNvSpPr>
                        </a:nvSpPr>
                        <a:spPr bwMode="auto">
                          <a:xfrm>
                            <a:off x="452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5" name="Rectangle 451"/>
                          <a:cNvSpPr>
                            <a:spLocks noChangeArrowheads="1"/>
                          </a:cNvSpPr>
                        </a:nvSpPr>
                        <a:spPr bwMode="auto">
                          <a:xfrm>
                            <a:off x="4553" y="2326"/>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6" name="Rectangle 452"/>
                          <a:cNvSpPr>
                            <a:spLocks noChangeArrowheads="1"/>
                          </a:cNvSpPr>
                        </a:nvSpPr>
                        <a:spPr bwMode="auto">
                          <a:xfrm>
                            <a:off x="130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7" name="Rectangle 453"/>
                          <a:cNvSpPr>
                            <a:spLocks noChangeArrowheads="1"/>
                          </a:cNvSpPr>
                        </a:nvSpPr>
                        <a:spPr bwMode="auto">
                          <a:xfrm>
                            <a:off x="133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8" name="Rectangle 454"/>
                          <a:cNvSpPr>
                            <a:spLocks noChangeArrowheads="1"/>
                          </a:cNvSpPr>
                        </a:nvSpPr>
                        <a:spPr bwMode="auto">
                          <a:xfrm>
                            <a:off x="136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79" name="Rectangle 455"/>
                          <a:cNvSpPr>
                            <a:spLocks noChangeArrowheads="1"/>
                          </a:cNvSpPr>
                        </a:nvSpPr>
                        <a:spPr bwMode="auto">
                          <a:xfrm>
                            <a:off x="139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0" name="Rectangle 456"/>
                          <a:cNvSpPr>
                            <a:spLocks noChangeArrowheads="1"/>
                          </a:cNvSpPr>
                        </a:nvSpPr>
                        <a:spPr bwMode="auto">
                          <a:xfrm>
                            <a:off x="142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1" name="Rectangle 457"/>
                          <a:cNvSpPr>
                            <a:spLocks noChangeArrowheads="1"/>
                          </a:cNvSpPr>
                        </a:nvSpPr>
                        <a:spPr bwMode="auto">
                          <a:xfrm>
                            <a:off x="145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2" name="Rectangle 458"/>
                          <a:cNvSpPr>
                            <a:spLocks noChangeArrowheads="1"/>
                          </a:cNvSpPr>
                        </a:nvSpPr>
                        <a:spPr bwMode="auto">
                          <a:xfrm>
                            <a:off x="1482" y="1988"/>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3" name="Rectangle 459"/>
                          <a:cNvSpPr>
                            <a:spLocks noChangeArrowheads="1"/>
                          </a:cNvSpPr>
                        </a:nvSpPr>
                        <a:spPr bwMode="auto">
                          <a:xfrm>
                            <a:off x="151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4" name="Rectangle 460"/>
                          <a:cNvSpPr>
                            <a:spLocks noChangeArrowheads="1"/>
                          </a:cNvSpPr>
                        </a:nvSpPr>
                        <a:spPr bwMode="auto">
                          <a:xfrm>
                            <a:off x="154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5" name="Rectangle 461"/>
                          <a:cNvSpPr>
                            <a:spLocks noChangeArrowheads="1"/>
                          </a:cNvSpPr>
                        </a:nvSpPr>
                        <a:spPr bwMode="auto">
                          <a:xfrm>
                            <a:off x="157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6" name="Rectangle 462"/>
                          <a:cNvSpPr>
                            <a:spLocks noChangeArrowheads="1"/>
                          </a:cNvSpPr>
                        </a:nvSpPr>
                        <a:spPr bwMode="auto">
                          <a:xfrm>
                            <a:off x="160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7" name="Rectangle 463"/>
                          <a:cNvSpPr>
                            <a:spLocks noChangeArrowheads="1"/>
                          </a:cNvSpPr>
                        </a:nvSpPr>
                        <a:spPr bwMode="auto">
                          <a:xfrm>
                            <a:off x="163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8" name="Rectangle 464"/>
                          <a:cNvSpPr>
                            <a:spLocks noChangeArrowheads="1"/>
                          </a:cNvSpPr>
                        </a:nvSpPr>
                        <a:spPr bwMode="auto">
                          <a:xfrm>
                            <a:off x="166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89" name="Rectangle 465"/>
                          <a:cNvSpPr>
                            <a:spLocks noChangeArrowheads="1"/>
                          </a:cNvSpPr>
                        </a:nvSpPr>
                        <a:spPr bwMode="auto">
                          <a:xfrm>
                            <a:off x="169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0" name="Rectangle 466"/>
                          <a:cNvSpPr>
                            <a:spLocks noChangeArrowheads="1"/>
                          </a:cNvSpPr>
                        </a:nvSpPr>
                        <a:spPr bwMode="auto">
                          <a:xfrm>
                            <a:off x="172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1" name="Rectangle 467"/>
                          <a:cNvSpPr>
                            <a:spLocks noChangeArrowheads="1"/>
                          </a:cNvSpPr>
                        </a:nvSpPr>
                        <a:spPr bwMode="auto">
                          <a:xfrm>
                            <a:off x="175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2" name="Rectangle 468"/>
                          <a:cNvSpPr>
                            <a:spLocks noChangeArrowheads="1"/>
                          </a:cNvSpPr>
                        </a:nvSpPr>
                        <a:spPr bwMode="auto">
                          <a:xfrm>
                            <a:off x="178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3" name="Rectangle 469"/>
                          <a:cNvSpPr>
                            <a:spLocks noChangeArrowheads="1"/>
                          </a:cNvSpPr>
                        </a:nvSpPr>
                        <a:spPr bwMode="auto">
                          <a:xfrm>
                            <a:off x="1810" y="1988"/>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4" name="Rectangle 470"/>
                          <a:cNvSpPr>
                            <a:spLocks noChangeArrowheads="1"/>
                          </a:cNvSpPr>
                        </a:nvSpPr>
                        <a:spPr bwMode="auto">
                          <a:xfrm>
                            <a:off x="183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5" name="Rectangle 471"/>
                          <a:cNvSpPr>
                            <a:spLocks noChangeArrowheads="1"/>
                          </a:cNvSpPr>
                        </a:nvSpPr>
                        <a:spPr bwMode="auto">
                          <a:xfrm>
                            <a:off x="186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6" name="Rectangle 472"/>
                          <a:cNvSpPr>
                            <a:spLocks noChangeArrowheads="1"/>
                          </a:cNvSpPr>
                        </a:nvSpPr>
                        <a:spPr bwMode="auto">
                          <a:xfrm>
                            <a:off x="189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7" name="Rectangle 473"/>
                          <a:cNvSpPr>
                            <a:spLocks noChangeArrowheads="1"/>
                          </a:cNvSpPr>
                        </a:nvSpPr>
                        <a:spPr bwMode="auto">
                          <a:xfrm>
                            <a:off x="192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8" name="Rectangle 474"/>
                          <a:cNvSpPr>
                            <a:spLocks noChangeArrowheads="1"/>
                          </a:cNvSpPr>
                        </a:nvSpPr>
                        <a:spPr bwMode="auto">
                          <a:xfrm>
                            <a:off x="195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299" name="Rectangle 475"/>
                          <a:cNvSpPr>
                            <a:spLocks noChangeArrowheads="1"/>
                          </a:cNvSpPr>
                        </a:nvSpPr>
                        <a:spPr bwMode="auto">
                          <a:xfrm>
                            <a:off x="198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0" name="Rectangle 476"/>
                          <a:cNvSpPr>
                            <a:spLocks noChangeArrowheads="1"/>
                          </a:cNvSpPr>
                        </a:nvSpPr>
                        <a:spPr bwMode="auto">
                          <a:xfrm>
                            <a:off x="201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1" name="Rectangle 477"/>
                          <a:cNvSpPr>
                            <a:spLocks noChangeArrowheads="1"/>
                          </a:cNvSpPr>
                        </a:nvSpPr>
                        <a:spPr bwMode="auto">
                          <a:xfrm>
                            <a:off x="204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2" name="Rectangle 478"/>
                          <a:cNvSpPr>
                            <a:spLocks noChangeArrowheads="1"/>
                          </a:cNvSpPr>
                        </a:nvSpPr>
                        <a:spPr bwMode="auto">
                          <a:xfrm>
                            <a:off x="207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3" name="Rectangle 479"/>
                          <a:cNvSpPr>
                            <a:spLocks noChangeArrowheads="1"/>
                          </a:cNvSpPr>
                        </a:nvSpPr>
                        <a:spPr bwMode="auto">
                          <a:xfrm>
                            <a:off x="210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4" name="Rectangle 480"/>
                          <a:cNvSpPr>
                            <a:spLocks noChangeArrowheads="1"/>
                          </a:cNvSpPr>
                        </a:nvSpPr>
                        <a:spPr bwMode="auto">
                          <a:xfrm>
                            <a:off x="2138" y="1988"/>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5" name="Rectangle 481"/>
                          <a:cNvSpPr>
                            <a:spLocks noChangeArrowheads="1"/>
                          </a:cNvSpPr>
                        </a:nvSpPr>
                        <a:spPr bwMode="auto">
                          <a:xfrm>
                            <a:off x="216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6" name="Rectangle 482"/>
                          <a:cNvSpPr>
                            <a:spLocks noChangeArrowheads="1"/>
                          </a:cNvSpPr>
                        </a:nvSpPr>
                        <a:spPr bwMode="auto">
                          <a:xfrm>
                            <a:off x="219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7" name="Rectangle 483"/>
                          <a:cNvSpPr>
                            <a:spLocks noChangeArrowheads="1"/>
                          </a:cNvSpPr>
                        </a:nvSpPr>
                        <a:spPr bwMode="auto">
                          <a:xfrm>
                            <a:off x="222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8" name="Rectangle 484"/>
                          <a:cNvSpPr>
                            <a:spLocks noChangeArrowheads="1"/>
                          </a:cNvSpPr>
                        </a:nvSpPr>
                        <a:spPr bwMode="auto">
                          <a:xfrm>
                            <a:off x="225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09" name="Rectangle 485"/>
                          <a:cNvSpPr>
                            <a:spLocks noChangeArrowheads="1"/>
                          </a:cNvSpPr>
                        </a:nvSpPr>
                        <a:spPr bwMode="auto">
                          <a:xfrm>
                            <a:off x="228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0" name="Rectangle 486"/>
                          <a:cNvSpPr>
                            <a:spLocks noChangeArrowheads="1"/>
                          </a:cNvSpPr>
                        </a:nvSpPr>
                        <a:spPr bwMode="auto">
                          <a:xfrm>
                            <a:off x="231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1" name="Rectangle 487"/>
                          <a:cNvSpPr>
                            <a:spLocks noChangeArrowheads="1"/>
                          </a:cNvSpPr>
                        </a:nvSpPr>
                        <a:spPr bwMode="auto">
                          <a:xfrm>
                            <a:off x="234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2" name="Rectangle 488"/>
                          <a:cNvSpPr>
                            <a:spLocks noChangeArrowheads="1"/>
                          </a:cNvSpPr>
                        </a:nvSpPr>
                        <a:spPr bwMode="auto">
                          <a:xfrm>
                            <a:off x="237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3" name="Rectangle 489"/>
                          <a:cNvSpPr>
                            <a:spLocks noChangeArrowheads="1"/>
                          </a:cNvSpPr>
                        </a:nvSpPr>
                        <a:spPr bwMode="auto">
                          <a:xfrm>
                            <a:off x="240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4" name="Rectangle 490"/>
                          <a:cNvSpPr>
                            <a:spLocks noChangeArrowheads="1"/>
                          </a:cNvSpPr>
                        </a:nvSpPr>
                        <a:spPr bwMode="auto">
                          <a:xfrm>
                            <a:off x="243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5" name="Rectangle 491"/>
                          <a:cNvSpPr>
                            <a:spLocks noChangeArrowheads="1"/>
                          </a:cNvSpPr>
                        </a:nvSpPr>
                        <a:spPr bwMode="auto">
                          <a:xfrm>
                            <a:off x="246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6" name="Rectangle 492"/>
                          <a:cNvSpPr>
                            <a:spLocks noChangeArrowheads="1"/>
                          </a:cNvSpPr>
                        </a:nvSpPr>
                        <a:spPr bwMode="auto">
                          <a:xfrm>
                            <a:off x="249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7" name="Rectangle 493"/>
                          <a:cNvSpPr>
                            <a:spLocks noChangeArrowheads="1"/>
                          </a:cNvSpPr>
                        </a:nvSpPr>
                        <a:spPr bwMode="auto">
                          <a:xfrm>
                            <a:off x="252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8" name="Rectangle 494"/>
                          <a:cNvSpPr>
                            <a:spLocks noChangeArrowheads="1"/>
                          </a:cNvSpPr>
                        </a:nvSpPr>
                        <a:spPr bwMode="auto">
                          <a:xfrm>
                            <a:off x="255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19" name="Rectangle 495"/>
                          <a:cNvSpPr>
                            <a:spLocks noChangeArrowheads="1"/>
                          </a:cNvSpPr>
                        </a:nvSpPr>
                        <a:spPr bwMode="auto">
                          <a:xfrm>
                            <a:off x="258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0" name="Rectangle 496"/>
                          <a:cNvSpPr>
                            <a:spLocks noChangeArrowheads="1"/>
                          </a:cNvSpPr>
                        </a:nvSpPr>
                        <a:spPr bwMode="auto">
                          <a:xfrm>
                            <a:off x="261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1" name="Rectangle 497"/>
                          <a:cNvSpPr>
                            <a:spLocks noChangeArrowheads="1"/>
                          </a:cNvSpPr>
                        </a:nvSpPr>
                        <a:spPr bwMode="auto">
                          <a:xfrm>
                            <a:off x="264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2" name="Rectangle 498"/>
                          <a:cNvSpPr>
                            <a:spLocks noChangeArrowheads="1"/>
                          </a:cNvSpPr>
                        </a:nvSpPr>
                        <a:spPr bwMode="auto">
                          <a:xfrm>
                            <a:off x="267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3" name="Rectangle 499"/>
                          <a:cNvSpPr>
                            <a:spLocks noChangeArrowheads="1"/>
                          </a:cNvSpPr>
                        </a:nvSpPr>
                        <a:spPr bwMode="auto">
                          <a:xfrm>
                            <a:off x="270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4" name="Rectangle 500"/>
                          <a:cNvSpPr>
                            <a:spLocks noChangeArrowheads="1"/>
                          </a:cNvSpPr>
                        </a:nvSpPr>
                        <a:spPr bwMode="auto">
                          <a:xfrm>
                            <a:off x="273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5" name="Rectangle 501"/>
                          <a:cNvSpPr>
                            <a:spLocks noChangeArrowheads="1"/>
                          </a:cNvSpPr>
                        </a:nvSpPr>
                        <a:spPr bwMode="auto">
                          <a:xfrm>
                            <a:off x="276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6" name="Rectangle 502"/>
                          <a:cNvSpPr>
                            <a:spLocks noChangeArrowheads="1"/>
                          </a:cNvSpPr>
                        </a:nvSpPr>
                        <a:spPr bwMode="auto">
                          <a:xfrm>
                            <a:off x="279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7" name="Rectangle 503"/>
                          <a:cNvSpPr>
                            <a:spLocks noChangeArrowheads="1"/>
                          </a:cNvSpPr>
                        </a:nvSpPr>
                        <a:spPr bwMode="auto">
                          <a:xfrm>
                            <a:off x="282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8" name="Rectangle 504"/>
                          <a:cNvSpPr>
                            <a:spLocks noChangeArrowheads="1"/>
                          </a:cNvSpPr>
                        </a:nvSpPr>
                        <a:spPr bwMode="auto">
                          <a:xfrm>
                            <a:off x="285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29" name="Rectangle 505"/>
                          <a:cNvSpPr>
                            <a:spLocks noChangeArrowheads="1"/>
                          </a:cNvSpPr>
                        </a:nvSpPr>
                        <a:spPr bwMode="auto">
                          <a:xfrm>
                            <a:off x="288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0" name="Rectangle 506"/>
                          <a:cNvSpPr>
                            <a:spLocks noChangeArrowheads="1"/>
                          </a:cNvSpPr>
                        </a:nvSpPr>
                        <a:spPr bwMode="auto">
                          <a:xfrm>
                            <a:off x="291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1" name="Rectangle 507"/>
                          <a:cNvSpPr>
                            <a:spLocks noChangeArrowheads="1"/>
                          </a:cNvSpPr>
                        </a:nvSpPr>
                        <a:spPr bwMode="auto">
                          <a:xfrm>
                            <a:off x="294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2" name="Rectangle 508"/>
                          <a:cNvSpPr>
                            <a:spLocks noChangeArrowheads="1"/>
                          </a:cNvSpPr>
                        </a:nvSpPr>
                        <a:spPr bwMode="auto">
                          <a:xfrm>
                            <a:off x="297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3" name="Rectangle 509"/>
                          <a:cNvSpPr>
                            <a:spLocks noChangeArrowheads="1"/>
                          </a:cNvSpPr>
                        </a:nvSpPr>
                        <a:spPr bwMode="auto">
                          <a:xfrm>
                            <a:off x="300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4" name="Rectangle 510"/>
                          <a:cNvSpPr>
                            <a:spLocks noChangeArrowheads="1"/>
                          </a:cNvSpPr>
                        </a:nvSpPr>
                        <a:spPr bwMode="auto">
                          <a:xfrm>
                            <a:off x="303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5" name="Rectangle 511"/>
                          <a:cNvSpPr>
                            <a:spLocks noChangeArrowheads="1"/>
                          </a:cNvSpPr>
                        </a:nvSpPr>
                        <a:spPr bwMode="auto">
                          <a:xfrm>
                            <a:off x="306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6" name="Rectangle 512"/>
                          <a:cNvSpPr>
                            <a:spLocks noChangeArrowheads="1"/>
                          </a:cNvSpPr>
                        </a:nvSpPr>
                        <a:spPr bwMode="auto">
                          <a:xfrm>
                            <a:off x="309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7" name="Rectangle 513"/>
                          <a:cNvSpPr>
                            <a:spLocks noChangeArrowheads="1"/>
                          </a:cNvSpPr>
                        </a:nvSpPr>
                        <a:spPr bwMode="auto">
                          <a:xfrm>
                            <a:off x="3122"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8" name="Rectangle 514"/>
                          <a:cNvSpPr>
                            <a:spLocks noChangeArrowheads="1"/>
                          </a:cNvSpPr>
                        </a:nvSpPr>
                        <a:spPr bwMode="auto">
                          <a:xfrm>
                            <a:off x="315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39" name="Rectangle 515"/>
                          <a:cNvSpPr>
                            <a:spLocks noChangeArrowheads="1"/>
                          </a:cNvSpPr>
                        </a:nvSpPr>
                        <a:spPr bwMode="auto">
                          <a:xfrm>
                            <a:off x="318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0" name="Rectangle 516"/>
                          <a:cNvSpPr>
                            <a:spLocks noChangeArrowheads="1"/>
                          </a:cNvSpPr>
                        </a:nvSpPr>
                        <a:spPr bwMode="auto">
                          <a:xfrm>
                            <a:off x="321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1" name="Rectangle 517"/>
                          <a:cNvSpPr>
                            <a:spLocks noChangeArrowheads="1"/>
                          </a:cNvSpPr>
                        </a:nvSpPr>
                        <a:spPr bwMode="auto">
                          <a:xfrm>
                            <a:off x="324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2" name="Rectangle 518"/>
                          <a:cNvSpPr>
                            <a:spLocks noChangeArrowheads="1"/>
                          </a:cNvSpPr>
                        </a:nvSpPr>
                        <a:spPr bwMode="auto">
                          <a:xfrm>
                            <a:off x="3271"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3" name="Rectangle 519"/>
                          <a:cNvSpPr>
                            <a:spLocks noChangeArrowheads="1"/>
                          </a:cNvSpPr>
                        </a:nvSpPr>
                        <a:spPr bwMode="auto">
                          <a:xfrm>
                            <a:off x="330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4" name="Rectangle 520"/>
                          <a:cNvSpPr>
                            <a:spLocks noChangeArrowheads="1"/>
                          </a:cNvSpPr>
                        </a:nvSpPr>
                        <a:spPr bwMode="auto">
                          <a:xfrm>
                            <a:off x="333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5" name="Rectangle 521"/>
                          <a:cNvSpPr>
                            <a:spLocks noChangeArrowheads="1"/>
                          </a:cNvSpPr>
                        </a:nvSpPr>
                        <a:spPr bwMode="auto">
                          <a:xfrm>
                            <a:off x="336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6" name="Rectangle 522"/>
                          <a:cNvSpPr>
                            <a:spLocks noChangeArrowheads="1"/>
                          </a:cNvSpPr>
                        </a:nvSpPr>
                        <a:spPr bwMode="auto">
                          <a:xfrm>
                            <a:off x="339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7" name="Rectangle 523"/>
                          <a:cNvSpPr>
                            <a:spLocks noChangeArrowheads="1"/>
                          </a:cNvSpPr>
                        </a:nvSpPr>
                        <a:spPr bwMode="auto">
                          <a:xfrm>
                            <a:off x="342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8" name="Rectangle 524"/>
                          <a:cNvSpPr>
                            <a:spLocks noChangeArrowheads="1"/>
                          </a:cNvSpPr>
                        </a:nvSpPr>
                        <a:spPr bwMode="auto">
                          <a:xfrm>
                            <a:off x="3450"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49" name="Rectangle 525"/>
                          <a:cNvSpPr>
                            <a:spLocks noChangeArrowheads="1"/>
                          </a:cNvSpPr>
                        </a:nvSpPr>
                        <a:spPr bwMode="auto">
                          <a:xfrm>
                            <a:off x="347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0" name="Rectangle 526"/>
                          <a:cNvSpPr>
                            <a:spLocks noChangeArrowheads="1"/>
                          </a:cNvSpPr>
                        </a:nvSpPr>
                        <a:spPr bwMode="auto">
                          <a:xfrm>
                            <a:off x="350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1" name="Rectangle 527"/>
                          <a:cNvSpPr>
                            <a:spLocks noChangeArrowheads="1"/>
                          </a:cNvSpPr>
                        </a:nvSpPr>
                        <a:spPr bwMode="auto">
                          <a:xfrm>
                            <a:off x="353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2" name="Rectangle 528"/>
                          <a:cNvSpPr>
                            <a:spLocks noChangeArrowheads="1"/>
                          </a:cNvSpPr>
                        </a:nvSpPr>
                        <a:spPr bwMode="auto">
                          <a:xfrm>
                            <a:off x="356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3" name="Rectangle 529"/>
                          <a:cNvSpPr>
                            <a:spLocks noChangeArrowheads="1"/>
                          </a:cNvSpPr>
                        </a:nvSpPr>
                        <a:spPr bwMode="auto">
                          <a:xfrm>
                            <a:off x="3599"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4" name="Rectangle 530"/>
                          <a:cNvSpPr>
                            <a:spLocks noChangeArrowheads="1"/>
                          </a:cNvSpPr>
                        </a:nvSpPr>
                        <a:spPr bwMode="auto">
                          <a:xfrm>
                            <a:off x="3629" y="1988"/>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5" name="Rectangle 531"/>
                          <a:cNvSpPr>
                            <a:spLocks noChangeArrowheads="1"/>
                          </a:cNvSpPr>
                        </a:nvSpPr>
                        <a:spPr bwMode="auto">
                          <a:xfrm>
                            <a:off x="365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6" name="Rectangle 532"/>
                          <a:cNvSpPr>
                            <a:spLocks noChangeArrowheads="1"/>
                          </a:cNvSpPr>
                        </a:nvSpPr>
                        <a:spPr bwMode="auto">
                          <a:xfrm>
                            <a:off x="368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7" name="Rectangle 533"/>
                          <a:cNvSpPr>
                            <a:spLocks noChangeArrowheads="1"/>
                          </a:cNvSpPr>
                        </a:nvSpPr>
                        <a:spPr bwMode="auto">
                          <a:xfrm>
                            <a:off x="371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8" name="Rectangle 534"/>
                          <a:cNvSpPr>
                            <a:spLocks noChangeArrowheads="1"/>
                          </a:cNvSpPr>
                        </a:nvSpPr>
                        <a:spPr bwMode="auto">
                          <a:xfrm>
                            <a:off x="374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59" name="Rectangle 535"/>
                          <a:cNvSpPr>
                            <a:spLocks noChangeArrowheads="1"/>
                          </a:cNvSpPr>
                        </a:nvSpPr>
                        <a:spPr bwMode="auto">
                          <a:xfrm>
                            <a:off x="3778"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0" name="Rectangle 536"/>
                          <a:cNvSpPr>
                            <a:spLocks noChangeArrowheads="1"/>
                          </a:cNvSpPr>
                        </a:nvSpPr>
                        <a:spPr bwMode="auto">
                          <a:xfrm>
                            <a:off x="380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1" name="Rectangle 537"/>
                          <a:cNvSpPr>
                            <a:spLocks noChangeArrowheads="1"/>
                          </a:cNvSpPr>
                        </a:nvSpPr>
                        <a:spPr bwMode="auto">
                          <a:xfrm>
                            <a:off x="383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2" name="Rectangle 538"/>
                          <a:cNvSpPr>
                            <a:spLocks noChangeArrowheads="1"/>
                          </a:cNvSpPr>
                        </a:nvSpPr>
                        <a:spPr bwMode="auto">
                          <a:xfrm>
                            <a:off x="386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3" name="Rectangle 539"/>
                          <a:cNvSpPr>
                            <a:spLocks noChangeArrowheads="1"/>
                          </a:cNvSpPr>
                        </a:nvSpPr>
                        <a:spPr bwMode="auto">
                          <a:xfrm>
                            <a:off x="389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4" name="Rectangle 540"/>
                          <a:cNvSpPr>
                            <a:spLocks noChangeArrowheads="1"/>
                          </a:cNvSpPr>
                        </a:nvSpPr>
                        <a:spPr bwMode="auto">
                          <a:xfrm>
                            <a:off x="3927"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5" name="Rectangle 541"/>
                          <a:cNvSpPr>
                            <a:spLocks noChangeArrowheads="1"/>
                          </a:cNvSpPr>
                        </a:nvSpPr>
                        <a:spPr bwMode="auto">
                          <a:xfrm>
                            <a:off x="3957" y="1988"/>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6" name="Rectangle 542"/>
                          <a:cNvSpPr>
                            <a:spLocks noChangeArrowheads="1"/>
                          </a:cNvSpPr>
                        </a:nvSpPr>
                        <a:spPr bwMode="auto">
                          <a:xfrm>
                            <a:off x="398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7" name="Rectangle 543"/>
                          <a:cNvSpPr>
                            <a:spLocks noChangeArrowheads="1"/>
                          </a:cNvSpPr>
                        </a:nvSpPr>
                        <a:spPr bwMode="auto">
                          <a:xfrm>
                            <a:off x="401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8" name="Rectangle 544"/>
                          <a:cNvSpPr>
                            <a:spLocks noChangeArrowheads="1"/>
                          </a:cNvSpPr>
                        </a:nvSpPr>
                        <a:spPr bwMode="auto">
                          <a:xfrm>
                            <a:off x="404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69" name="Rectangle 545"/>
                          <a:cNvSpPr>
                            <a:spLocks noChangeArrowheads="1"/>
                          </a:cNvSpPr>
                        </a:nvSpPr>
                        <a:spPr bwMode="auto">
                          <a:xfrm>
                            <a:off x="407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0" name="Rectangle 546"/>
                          <a:cNvSpPr>
                            <a:spLocks noChangeArrowheads="1"/>
                          </a:cNvSpPr>
                        </a:nvSpPr>
                        <a:spPr bwMode="auto">
                          <a:xfrm>
                            <a:off x="4106"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1" name="Rectangle 547"/>
                          <a:cNvSpPr>
                            <a:spLocks noChangeArrowheads="1"/>
                          </a:cNvSpPr>
                        </a:nvSpPr>
                        <a:spPr bwMode="auto">
                          <a:xfrm>
                            <a:off x="413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2" name="Rectangle 548"/>
                          <a:cNvSpPr>
                            <a:spLocks noChangeArrowheads="1"/>
                          </a:cNvSpPr>
                        </a:nvSpPr>
                        <a:spPr bwMode="auto">
                          <a:xfrm>
                            <a:off x="416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3" name="Rectangle 549"/>
                          <a:cNvSpPr>
                            <a:spLocks noChangeArrowheads="1"/>
                          </a:cNvSpPr>
                        </a:nvSpPr>
                        <a:spPr bwMode="auto">
                          <a:xfrm>
                            <a:off x="419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4" name="Rectangle 550"/>
                          <a:cNvSpPr>
                            <a:spLocks noChangeArrowheads="1"/>
                          </a:cNvSpPr>
                        </a:nvSpPr>
                        <a:spPr bwMode="auto">
                          <a:xfrm>
                            <a:off x="422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5" name="Rectangle 551"/>
                          <a:cNvSpPr>
                            <a:spLocks noChangeArrowheads="1"/>
                          </a:cNvSpPr>
                        </a:nvSpPr>
                        <a:spPr bwMode="auto">
                          <a:xfrm>
                            <a:off x="4255"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6" name="Rectangle 552"/>
                          <a:cNvSpPr>
                            <a:spLocks noChangeArrowheads="1"/>
                          </a:cNvSpPr>
                        </a:nvSpPr>
                        <a:spPr bwMode="auto">
                          <a:xfrm>
                            <a:off x="4285" y="1988"/>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7" name="Rectangle 553"/>
                          <a:cNvSpPr>
                            <a:spLocks noChangeArrowheads="1"/>
                          </a:cNvSpPr>
                        </a:nvSpPr>
                        <a:spPr bwMode="auto">
                          <a:xfrm>
                            <a:off x="431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8" name="Rectangle 554"/>
                          <a:cNvSpPr>
                            <a:spLocks noChangeArrowheads="1"/>
                          </a:cNvSpPr>
                        </a:nvSpPr>
                        <a:spPr bwMode="auto">
                          <a:xfrm>
                            <a:off x="434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79" name="Rectangle 555"/>
                          <a:cNvSpPr>
                            <a:spLocks noChangeArrowheads="1"/>
                          </a:cNvSpPr>
                        </a:nvSpPr>
                        <a:spPr bwMode="auto">
                          <a:xfrm>
                            <a:off x="437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0" name="Rectangle 556"/>
                          <a:cNvSpPr>
                            <a:spLocks noChangeArrowheads="1"/>
                          </a:cNvSpPr>
                        </a:nvSpPr>
                        <a:spPr bwMode="auto">
                          <a:xfrm>
                            <a:off x="440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1" name="Rectangle 557"/>
                          <a:cNvSpPr>
                            <a:spLocks noChangeArrowheads="1"/>
                          </a:cNvSpPr>
                        </a:nvSpPr>
                        <a:spPr bwMode="auto">
                          <a:xfrm>
                            <a:off x="4434"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2" name="Rectangle 558"/>
                          <a:cNvSpPr>
                            <a:spLocks noChangeArrowheads="1"/>
                          </a:cNvSpPr>
                        </a:nvSpPr>
                        <a:spPr bwMode="auto">
                          <a:xfrm>
                            <a:off x="446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3" name="Rectangle 559"/>
                          <a:cNvSpPr>
                            <a:spLocks noChangeArrowheads="1"/>
                          </a:cNvSpPr>
                        </a:nvSpPr>
                        <a:spPr bwMode="auto">
                          <a:xfrm>
                            <a:off x="449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4" name="Rectangle 560"/>
                          <a:cNvSpPr>
                            <a:spLocks noChangeArrowheads="1"/>
                          </a:cNvSpPr>
                        </a:nvSpPr>
                        <a:spPr bwMode="auto">
                          <a:xfrm>
                            <a:off x="452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5" name="Rectangle 561"/>
                          <a:cNvSpPr>
                            <a:spLocks noChangeArrowheads="1"/>
                          </a:cNvSpPr>
                        </a:nvSpPr>
                        <a:spPr bwMode="auto">
                          <a:xfrm>
                            <a:off x="4553" y="1988"/>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6" name="Rectangle 562"/>
                          <a:cNvSpPr>
                            <a:spLocks noChangeArrowheads="1"/>
                          </a:cNvSpPr>
                        </a:nvSpPr>
                        <a:spPr bwMode="auto">
                          <a:xfrm>
                            <a:off x="130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7" name="Rectangle 563"/>
                          <a:cNvSpPr>
                            <a:spLocks noChangeArrowheads="1"/>
                          </a:cNvSpPr>
                        </a:nvSpPr>
                        <a:spPr bwMode="auto">
                          <a:xfrm>
                            <a:off x="133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8" name="Rectangle 564"/>
                          <a:cNvSpPr>
                            <a:spLocks noChangeArrowheads="1"/>
                          </a:cNvSpPr>
                        </a:nvSpPr>
                        <a:spPr bwMode="auto">
                          <a:xfrm>
                            <a:off x="136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89" name="Rectangle 565"/>
                          <a:cNvSpPr>
                            <a:spLocks noChangeArrowheads="1"/>
                          </a:cNvSpPr>
                        </a:nvSpPr>
                        <a:spPr bwMode="auto">
                          <a:xfrm>
                            <a:off x="139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0" name="Rectangle 566"/>
                          <a:cNvSpPr>
                            <a:spLocks noChangeArrowheads="1"/>
                          </a:cNvSpPr>
                        </a:nvSpPr>
                        <a:spPr bwMode="auto">
                          <a:xfrm>
                            <a:off x="142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1" name="Rectangle 567"/>
                          <a:cNvSpPr>
                            <a:spLocks noChangeArrowheads="1"/>
                          </a:cNvSpPr>
                        </a:nvSpPr>
                        <a:spPr bwMode="auto">
                          <a:xfrm>
                            <a:off x="145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2" name="Rectangle 568"/>
                          <a:cNvSpPr>
                            <a:spLocks noChangeArrowheads="1"/>
                          </a:cNvSpPr>
                        </a:nvSpPr>
                        <a:spPr bwMode="auto">
                          <a:xfrm>
                            <a:off x="1482" y="16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3" name="Rectangle 569"/>
                          <a:cNvSpPr>
                            <a:spLocks noChangeArrowheads="1"/>
                          </a:cNvSpPr>
                        </a:nvSpPr>
                        <a:spPr bwMode="auto">
                          <a:xfrm>
                            <a:off x="151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4" name="Rectangle 570"/>
                          <a:cNvSpPr>
                            <a:spLocks noChangeArrowheads="1"/>
                          </a:cNvSpPr>
                        </a:nvSpPr>
                        <a:spPr bwMode="auto">
                          <a:xfrm>
                            <a:off x="154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5" name="Rectangle 571"/>
                          <a:cNvSpPr>
                            <a:spLocks noChangeArrowheads="1"/>
                          </a:cNvSpPr>
                        </a:nvSpPr>
                        <a:spPr bwMode="auto">
                          <a:xfrm>
                            <a:off x="157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6" name="Rectangle 572"/>
                          <a:cNvSpPr>
                            <a:spLocks noChangeArrowheads="1"/>
                          </a:cNvSpPr>
                        </a:nvSpPr>
                        <a:spPr bwMode="auto">
                          <a:xfrm>
                            <a:off x="160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7" name="Rectangle 573"/>
                          <a:cNvSpPr>
                            <a:spLocks noChangeArrowheads="1"/>
                          </a:cNvSpPr>
                        </a:nvSpPr>
                        <a:spPr bwMode="auto">
                          <a:xfrm>
                            <a:off x="163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8" name="Rectangle 574"/>
                          <a:cNvSpPr>
                            <a:spLocks noChangeArrowheads="1"/>
                          </a:cNvSpPr>
                        </a:nvSpPr>
                        <a:spPr bwMode="auto">
                          <a:xfrm>
                            <a:off x="166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399" name="Rectangle 575"/>
                          <a:cNvSpPr>
                            <a:spLocks noChangeArrowheads="1"/>
                          </a:cNvSpPr>
                        </a:nvSpPr>
                        <a:spPr bwMode="auto">
                          <a:xfrm>
                            <a:off x="169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0" name="Rectangle 576"/>
                          <a:cNvSpPr>
                            <a:spLocks noChangeArrowheads="1"/>
                          </a:cNvSpPr>
                        </a:nvSpPr>
                        <a:spPr bwMode="auto">
                          <a:xfrm>
                            <a:off x="172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1" name="Rectangle 577"/>
                          <a:cNvSpPr>
                            <a:spLocks noChangeArrowheads="1"/>
                          </a:cNvSpPr>
                        </a:nvSpPr>
                        <a:spPr bwMode="auto">
                          <a:xfrm>
                            <a:off x="175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2" name="Rectangle 578"/>
                          <a:cNvSpPr>
                            <a:spLocks noChangeArrowheads="1"/>
                          </a:cNvSpPr>
                        </a:nvSpPr>
                        <a:spPr bwMode="auto">
                          <a:xfrm>
                            <a:off x="178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3" name="Rectangle 579"/>
                          <a:cNvSpPr>
                            <a:spLocks noChangeArrowheads="1"/>
                          </a:cNvSpPr>
                        </a:nvSpPr>
                        <a:spPr bwMode="auto">
                          <a:xfrm>
                            <a:off x="1810" y="16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4" name="Rectangle 580"/>
                          <a:cNvSpPr>
                            <a:spLocks noChangeArrowheads="1"/>
                          </a:cNvSpPr>
                        </a:nvSpPr>
                        <a:spPr bwMode="auto">
                          <a:xfrm>
                            <a:off x="183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5" name="Rectangle 581"/>
                          <a:cNvSpPr>
                            <a:spLocks noChangeArrowheads="1"/>
                          </a:cNvSpPr>
                        </a:nvSpPr>
                        <a:spPr bwMode="auto">
                          <a:xfrm>
                            <a:off x="186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6" name="Rectangle 582"/>
                          <a:cNvSpPr>
                            <a:spLocks noChangeArrowheads="1"/>
                          </a:cNvSpPr>
                        </a:nvSpPr>
                        <a:spPr bwMode="auto">
                          <a:xfrm>
                            <a:off x="189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7" name="Rectangle 583"/>
                          <a:cNvSpPr>
                            <a:spLocks noChangeArrowheads="1"/>
                          </a:cNvSpPr>
                        </a:nvSpPr>
                        <a:spPr bwMode="auto">
                          <a:xfrm>
                            <a:off x="192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8" name="Rectangle 584"/>
                          <a:cNvSpPr>
                            <a:spLocks noChangeArrowheads="1"/>
                          </a:cNvSpPr>
                        </a:nvSpPr>
                        <a:spPr bwMode="auto">
                          <a:xfrm>
                            <a:off x="195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09" name="Rectangle 585"/>
                          <a:cNvSpPr>
                            <a:spLocks noChangeArrowheads="1"/>
                          </a:cNvSpPr>
                        </a:nvSpPr>
                        <a:spPr bwMode="auto">
                          <a:xfrm>
                            <a:off x="198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0" name="Rectangle 586"/>
                          <a:cNvSpPr>
                            <a:spLocks noChangeArrowheads="1"/>
                          </a:cNvSpPr>
                        </a:nvSpPr>
                        <a:spPr bwMode="auto">
                          <a:xfrm>
                            <a:off x="201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1" name="Rectangle 587"/>
                          <a:cNvSpPr>
                            <a:spLocks noChangeArrowheads="1"/>
                          </a:cNvSpPr>
                        </a:nvSpPr>
                        <a:spPr bwMode="auto">
                          <a:xfrm>
                            <a:off x="204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2" name="Rectangle 588"/>
                          <a:cNvSpPr>
                            <a:spLocks noChangeArrowheads="1"/>
                          </a:cNvSpPr>
                        </a:nvSpPr>
                        <a:spPr bwMode="auto">
                          <a:xfrm>
                            <a:off x="207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3" name="Rectangle 589"/>
                          <a:cNvSpPr>
                            <a:spLocks noChangeArrowheads="1"/>
                          </a:cNvSpPr>
                        </a:nvSpPr>
                        <a:spPr bwMode="auto">
                          <a:xfrm>
                            <a:off x="210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4" name="Rectangle 590"/>
                          <a:cNvSpPr>
                            <a:spLocks noChangeArrowheads="1"/>
                          </a:cNvSpPr>
                        </a:nvSpPr>
                        <a:spPr bwMode="auto">
                          <a:xfrm>
                            <a:off x="2138" y="16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5" name="Rectangle 591"/>
                          <a:cNvSpPr>
                            <a:spLocks noChangeArrowheads="1"/>
                          </a:cNvSpPr>
                        </a:nvSpPr>
                        <a:spPr bwMode="auto">
                          <a:xfrm>
                            <a:off x="216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6" name="Rectangle 592"/>
                          <a:cNvSpPr>
                            <a:spLocks noChangeArrowheads="1"/>
                          </a:cNvSpPr>
                        </a:nvSpPr>
                        <a:spPr bwMode="auto">
                          <a:xfrm>
                            <a:off x="219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7" name="Rectangle 593"/>
                          <a:cNvSpPr>
                            <a:spLocks noChangeArrowheads="1"/>
                          </a:cNvSpPr>
                        </a:nvSpPr>
                        <a:spPr bwMode="auto">
                          <a:xfrm>
                            <a:off x="222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8" name="Rectangle 594"/>
                          <a:cNvSpPr>
                            <a:spLocks noChangeArrowheads="1"/>
                          </a:cNvSpPr>
                        </a:nvSpPr>
                        <a:spPr bwMode="auto">
                          <a:xfrm>
                            <a:off x="225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19" name="Rectangle 595"/>
                          <a:cNvSpPr>
                            <a:spLocks noChangeArrowheads="1"/>
                          </a:cNvSpPr>
                        </a:nvSpPr>
                        <a:spPr bwMode="auto">
                          <a:xfrm>
                            <a:off x="228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0" name="Rectangle 596"/>
                          <a:cNvSpPr>
                            <a:spLocks noChangeArrowheads="1"/>
                          </a:cNvSpPr>
                        </a:nvSpPr>
                        <a:spPr bwMode="auto">
                          <a:xfrm>
                            <a:off x="231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1" name="Rectangle 597"/>
                          <a:cNvSpPr>
                            <a:spLocks noChangeArrowheads="1"/>
                          </a:cNvSpPr>
                        </a:nvSpPr>
                        <a:spPr bwMode="auto">
                          <a:xfrm>
                            <a:off x="234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2" name="Rectangle 598"/>
                          <a:cNvSpPr>
                            <a:spLocks noChangeArrowheads="1"/>
                          </a:cNvSpPr>
                        </a:nvSpPr>
                        <a:spPr bwMode="auto">
                          <a:xfrm>
                            <a:off x="237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3" name="Rectangle 599"/>
                          <a:cNvSpPr>
                            <a:spLocks noChangeArrowheads="1"/>
                          </a:cNvSpPr>
                        </a:nvSpPr>
                        <a:spPr bwMode="auto">
                          <a:xfrm>
                            <a:off x="240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4" name="Rectangle 600"/>
                          <a:cNvSpPr>
                            <a:spLocks noChangeArrowheads="1"/>
                          </a:cNvSpPr>
                        </a:nvSpPr>
                        <a:spPr bwMode="auto">
                          <a:xfrm>
                            <a:off x="243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5" name="Rectangle 601"/>
                          <a:cNvSpPr>
                            <a:spLocks noChangeArrowheads="1"/>
                          </a:cNvSpPr>
                        </a:nvSpPr>
                        <a:spPr bwMode="auto">
                          <a:xfrm>
                            <a:off x="246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6" name="Rectangle 602"/>
                          <a:cNvSpPr>
                            <a:spLocks noChangeArrowheads="1"/>
                          </a:cNvSpPr>
                        </a:nvSpPr>
                        <a:spPr bwMode="auto">
                          <a:xfrm>
                            <a:off x="249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7" name="Rectangle 603"/>
                          <a:cNvSpPr>
                            <a:spLocks noChangeArrowheads="1"/>
                          </a:cNvSpPr>
                        </a:nvSpPr>
                        <a:spPr bwMode="auto">
                          <a:xfrm>
                            <a:off x="252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8" name="Rectangle 604"/>
                          <a:cNvSpPr>
                            <a:spLocks noChangeArrowheads="1"/>
                          </a:cNvSpPr>
                        </a:nvSpPr>
                        <a:spPr bwMode="auto">
                          <a:xfrm>
                            <a:off x="255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29" name="Rectangle 605"/>
                          <a:cNvSpPr>
                            <a:spLocks noChangeArrowheads="1"/>
                          </a:cNvSpPr>
                        </a:nvSpPr>
                        <a:spPr bwMode="auto">
                          <a:xfrm>
                            <a:off x="258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0" name="Rectangle 606"/>
                          <a:cNvSpPr>
                            <a:spLocks noChangeArrowheads="1"/>
                          </a:cNvSpPr>
                        </a:nvSpPr>
                        <a:spPr bwMode="auto">
                          <a:xfrm>
                            <a:off x="261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1" name="Rectangle 607"/>
                          <a:cNvSpPr>
                            <a:spLocks noChangeArrowheads="1"/>
                          </a:cNvSpPr>
                        </a:nvSpPr>
                        <a:spPr bwMode="auto">
                          <a:xfrm>
                            <a:off x="264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2" name="Rectangle 608"/>
                          <a:cNvSpPr>
                            <a:spLocks noChangeArrowheads="1"/>
                          </a:cNvSpPr>
                        </a:nvSpPr>
                        <a:spPr bwMode="auto">
                          <a:xfrm>
                            <a:off x="267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3" name="Rectangle 609"/>
                          <a:cNvSpPr>
                            <a:spLocks noChangeArrowheads="1"/>
                          </a:cNvSpPr>
                        </a:nvSpPr>
                        <a:spPr bwMode="auto">
                          <a:xfrm>
                            <a:off x="270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4" name="Rectangle 610"/>
                          <a:cNvSpPr>
                            <a:spLocks noChangeArrowheads="1"/>
                          </a:cNvSpPr>
                        </a:nvSpPr>
                        <a:spPr bwMode="auto">
                          <a:xfrm>
                            <a:off x="273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5" name="Rectangle 611"/>
                          <a:cNvSpPr>
                            <a:spLocks noChangeArrowheads="1"/>
                          </a:cNvSpPr>
                        </a:nvSpPr>
                        <a:spPr bwMode="auto">
                          <a:xfrm>
                            <a:off x="276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grpSp>
                    <a:sp>
                      <a:nvSpPr>
                        <a:cNvPr id="462437" name="Rectangle 613"/>
                        <a:cNvSpPr>
                          <a:spLocks noChangeArrowheads="1"/>
                        </a:cNvSpPr>
                      </a:nvSpPr>
                      <a:spPr bwMode="auto">
                        <a:xfrm>
                          <a:off x="279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8" name="Rectangle 614"/>
                        <a:cNvSpPr>
                          <a:spLocks noChangeArrowheads="1"/>
                        </a:cNvSpPr>
                      </a:nvSpPr>
                      <a:spPr bwMode="auto">
                        <a:xfrm>
                          <a:off x="282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39" name="Rectangle 615"/>
                        <a:cNvSpPr>
                          <a:spLocks noChangeArrowheads="1"/>
                        </a:cNvSpPr>
                      </a:nvSpPr>
                      <a:spPr bwMode="auto">
                        <a:xfrm>
                          <a:off x="285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0" name="Rectangle 616"/>
                        <a:cNvSpPr>
                          <a:spLocks noChangeArrowheads="1"/>
                        </a:cNvSpPr>
                      </a:nvSpPr>
                      <a:spPr bwMode="auto">
                        <a:xfrm>
                          <a:off x="288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1" name="Rectangle 617"/>
                        <a:cNvSpPr>
                          <a:spLocks noChangeArrowheads="1"/>
                        </a:cNvSpPr>
                      </a:nvSpPr>
                      <a:spPr bwMode="auto">
                        <a:xfrm>
                          <a:off x="291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2" name="Rectangle 618"/>
                        <a:cNvSpPr>
                          <a:spLocks noChangeArrowheads="1"/>
                        </a:cNvSpPr>
                      </a:nvSpPr>
                      <a:spPr bwMode="auto">
                        <a:xfrm>
                          <a:off x="294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3" name="Rectangle 619"/>
                        <a:cNvSpPr>
                          <a:spLocks noChangeArrowheads="1"/>
                        </a:cNvSpPr>
                      </a:nvSpPr>
                      <a:spPr bwMode="auto">
                        <a:xfrm>
                          <a:off x="297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4" name="Rectangle 620"/>
                        <a:cNvSpPr>
                          <a:spLocks noChangeArrowheads="1"/>
                        </a:cNvSpPr>
                      </a:nvSpPr>
                      <a:spPr bwMode="auto">
                        <a:xfrm>
                          <a:off x="300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5" name="Rectangle 621"/>
                        <a:cNvSpPr>
                          <a:spLocks noChangeArrowheads="1"/>
                        </a:cNvSpPr>
                      </a:nvSpPr>
                      <a:spPr bwMode="auto">
                        <a:xfrm>
                          <a:off x="303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6" name="Rectangle 622"/>
                        <a:cNvSpPr>
                          <a:spLocks noChangeArrowheads="1"/>
                        </a:cNvSpPr>
                      </a:nvSpPr>
                      <a:spPr bwMode="auto">
                        <a:xfrm>
                          <a:off x="306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7" name="Rectangle 623"/>
                        <a:cNvSpPr>
                          <a:spLocks noChangeArrowheads="1"/>
                        </a:cNvSpPr>
                      </a:nvSpPr>
                      <a:spPr bwMode="auto">
                        <a:xfrm>
                          <a:off x="309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8" name="Rectangle 624"/>
                        <a:cNvSpPr>
                          <a:spLocks noChangeArrowheads="1"/>
                        </a:cNvSpPr>
                      </a:nvSpPr>
                      <a:spPr bwMode="auto">
                        <a:xfrm>
                          <a:off x="3122"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49" name="Rectangle 625"/>
                        <a:cNvSpPr>
                          <a:spLocks noChangeArrowheads="1"/>
                        </a:cNvSpPr>
                      </a:nvSpPr>
                      <a:spPr bwMode="auto">
                        <a:xfrm>
                          <a:off x="315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0" name="Rectangle 626"/>
                        <a:cNvSpPr>
                          <a:spLocks noChangeArrowheads="1"/>
                        </a:cNvSpPr>
                      </a:nvSpPr>
                      <a:spPr bwMode="auto">
                        <a:xfrm>
                          <a:off x="318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1" name="Rectangle 627"/>
                        <a:cNvSpPr>
                          <a:spLocks noChangeArrowheads="1"/>
                        </a:cNvSpPr>
                      </a:nvSpPr>
                      <a:spPr bwMode="auto">
                        <a:xfrm>
                          <a:off x="321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2" name="Rectangle 628"/>
                        <a:cNvSpPr>
                          <a:spLocks noChangeArrowheads="1"/>
                        </a:cNvSpPr>
                      </a:nvSpPr>
                      <a:spPr bwMode="auto">
                        <a:xfrm>
                          <a:off x="324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3" name="Rectangle 629"/>
                        <a:cNvSpPr>
                          <a:spLocks noChangeArrowheads="1"/>
                        </a:cNvSpPr>
                      </a:nvSpPr>
                      <a:spPr bwMode="auto">
                        <a:xfrm>
                          <a:off x="3271"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4" name="Rectangle 630"/>
                        <a:cNvSpPr>
                          <a:spLocks noChangeArrowheads="1"/>
                        </a:cNvSpPr>
                      </a:nvSpPr>
                      <a:spPr bwMode="auto">
                        <a:xfrm>
                          <a:off x="330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5" name="Rectangle 631"/>
                        <a:cNvSpPr>
                          <a:spLocks noChangeArrowheads="1"/>
                        </a:cNvSpPr>
                      </a:nvSpPr>
                      <a:spPr bwMode="auto">
                        <a:xfrm>
                          <a:off x="333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6" name="Rectangle 632"/>
                        <a:cNvSpPr>
                          <a:spLocks noChangeArrowheads="1"/>
                        </a:cNvSpPr>
                      </a:nvSpPr>
                      <a:spPr bwMode="auto">
                        <a:xfrm>
                          <a:off x="336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7" name="Rectangle 633"/>
                        <a:cNvSpPr>
                          <a:spLocks noChangeArrowheads="1"/>
                        </a:cNvSpPr>
                      </a:nvSpPr>
                      <a:spPr bwMode="auto">
                        <a:xfrm>
                          <a:off x="339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8" name="Rectangle 634"/>
                        <a:cNvSpPr>
                          <a:spLocks noChangeArrowheads="1"/>
                        </a:cNvSpPr>
                      </a:nvSpPr>
                      <a:spPr bwMode="auto">
                        <a:xfrm>
                          <a:off x="342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59" name="Rectangle 635"/>
                        <a:cNvSpPr>
                          <a:spLocks noChangeArrowheads="1"/>
                        </a:cNvSpPr>
                      </a:nvSpPr>
                      <a:spPr bwMode="auto">
                        <a:xfrm>
                          <a:off x="3450"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0" name="Rectangle 636"/>
                        <a:cNvSpPr>
                          <a:spLocks noChangeArrowheads="1"/>
                        </a:cNvSpPr>
                      </a:nvSpPr>
                      <a:spPr bwMode="auto">
                        <a:xfrm>
                          <a:off x="347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1" name="Rectangle 637"/>
                        <a:cNvSpPr>
                          <a:spLocks noChangeArrowheads="1"/>
                        </a:cNvSpPr>
                      </a:nvSpPr>
                      <a:spPr bwMode="auto">
                        <a:xfrm>
                          <a:off x="350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2" name="Rectangle 638"/>
                        <a:cNvSpPr>
                          <a:spLocks noChangeArrowheads="1"/>
                        </a:cNvSpPr>
                      </a:nvSpPr>
                      <a:spPr bwMode="auto">
                        <a:xfrm>
                          <a:off x="353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3" name="Rectangle 639"/>
                        <a:cNvSpPr>
                          <a:spLocks noChangeArrowheads="1"/>
                        </a:cNvSpPr>
                      </a:nvSpPr>
                      <a:spPr bwMode="auto">
                        <a:xfrm>
                          <a:off x="356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4" name="Rectangle 640"/>
                        <a:cNvSpPr>
                          <a:spLocks noChangeArrowheads="1"/>
                        </a:cNvSpPr>
                      </a:nvSpPr>
                      <a:spPr bwMode="auto">
                        <a:xfrm>
                          <a:off x="3599"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5" name="Rectangle 641"/>
                        <a:cNvSpPr>
                          <a:spLocks noChangeArrowheads="1"/>
                        </a:cNvSpPr>
                      </a:nvSpPr>
                      <a:spPr bwMode="auto">
                        <a:xfrm>
                          <a:off x="3629" y="16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6" name="Rectangle 642"/>
                        <a:cNvSpPr>
                          <a:spLocks noChangeArrowheads="1"/>
                        </a:cNvSpPr>
                      </a:nvSpPr>
                      <a:spPr bwMode="auto">
                        <a:xfrm>
                          <a:off x="365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7" name="Rectangle 643"/>
                        <a:cNvSpPr>
                          <a:spLocks noChangeArrowheads="1"/>
                        </a:cNvSpPr>
                      </a:nvSpPr>
                      <a:spPr bwMode="auto">
                        <a:xfrm>
                          <a:off x="368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8" name="Rectangle 644"/>
                        <a:cNvSpPr>
                          <a:spLocks noChangeArrowheads="1"/>
                        </a:cNvSpPr>
                      </a:nvSpPr>
                      <a:spPr bwMode="auto">
                        <a:xfrm>
                          <a:off x="371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69" name="Rectangle 645"/>
                        <a:cNvSpPr>
                          <a:spLocks noChangeArrowheads="1"/>
                        </a:cNvSpPr>
                      </a:nvSpPr>
                      <a:spPr bwMode="auto">
                        <a:xfrm>
                          <a:off x="374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0" name="Rectangle 646"/>
                        <a:cNvSpPr>
                          <a:spLocks noChangeArrowheads="1"/>
                        </a:cNvSpPr>
                      </a:nvSpPr>
                      <a:spPr bwMode="auto">
                        <a:xfrm>
                          <a:off x="3778"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1" name="Rectangle 647"/>
                        <a:cNvSpPr>
                          <a:spLocks noChangeArrowheads="1"/>
                        </a:cNvSpPr>
                      </a:nvSpPr>
                      <a:spPr bwMode="auto">
                        <a:xfrm>
                          <a:off x="380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2" name="Rectangle 648"/>
                        <a:cNvSpPr>
                          <a:spLocks noChangeArrowheads="1"/>
                        </a:cNvSpPr>
                      </a:nvSpPr>
                      <a:spPr bwMode="auto">
                        <a:xfrm>
                          <a:off x="383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3" name="Rectangle 649"/>
                        <a:cNvSpPr>
                          <a:spLocks noChangeArrowheads="1"/>
                        </a:cNvSpPr>
                      </a:nvSpPr>
                      <a:spPr bwMode="auto">
                        <a:xfrm>
                          <a:off x="386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4" name="Rectangle 650"/>
                        <a:cNvSpPr>
                          <a:spLocks noChangeArrowheads="1"/>
                        </a:cNvSpPr>
                      </a:nvSpPr>
                      <a:spPr bwMode="auto">
                        <a:xfrm>
                          <a:off x="389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5" name="Rectangle 651"/>
                        <a:cNvSpPr>
                          <a:spLocks noChangeArrowheads="1"/>
                        </a:cNvSpPr>
                      </a:nvSpPr>
                      <a:spPr bwMode="auto">
                        <a:xfrm>
                          <a:off x="3927"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6" name="Rectangle 652"/>
                        <a:cNvSpPr>
                          <a:spLocks noChangeArrowheads="1"/>
                        </a:cNvSpPr>
                      </a:nvSpPr>
                      <a:spPr bwMode="auto">
                        <a:xfrm>
                          <a:off x="3957" y="16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7" name="Rectangle 653"/>
                        <a:cNvSpPr>
                          <a:spLocks noChangeArrowheads="1"/>
                        </a:cNvSpPr>
                      </a:nvSpPr>
                      <a:spPr bwMode="auto">
                        <a:xfrm>
                          <a:off x="398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8" name="Rectangle 654"/>
                        <a:cNvSpPr>
                          <a:spLocks noChangeArrowheads="1"/>
                        </a:cNvSpPr>
                      </a:nvSpPr>
                      <a:spPr bwMode="auto">
                        <a:xfrm>
                          <a:off x="401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79" name="Rectangle 655"/>
                        <a:cNvSpPr>
                          <a:spLocks noChangeArrowheads="1"/>
                        </a:cNvSpPr>
                      </a:nvSpPr>
                      <a:spPr bwMode="auto">
                        <a:xfrm>
                          <a:off x="404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0" name="Rectangle 656"/>
                        <a:cNvSpPr>
                          <a:spLocks noChangeArrowheads="1"/>
                        </a:cNvSpPr>
                      </a:nvSpPr>
                      <a:spPr bwMode="auto">
                        <a:xfrm>
                          <a:off x="407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1" name="Rectangle 657"/>
                        <a:cNvSpPr>
                          <a:spLocks noChangeArrowheads="1"/>
                        </a:cNvSpPr>
                      </a:nvSpPr>
                      <a:spPr bwMode="auto">
                        <a:xfrm>
                          <a:off x="4106"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2" name="Rectangle 658"/>
                        <a:cNvSpPr>
                          <a:spLocks noChangeArrowheads="1"/>
                        </a:cNvSpPr>
                      </a:nvSpPr>
                      <a:spPr bwMode="auto">
                        <a:xfrm>
                          <a:off x="413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3" name="Rectangle 659"/>
                        <a:cNvSpPr>
                          <a:spLocks noChangeArrowheads="1"/>
                        </a:cNvSpPr>
                      </a:nvSpPr>
                      <a:spPr bwMode="auto">
                        <a:xfrm>
                          <a:off x="416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4" name="Rectangle 660"/>
                        <a:cNvSpPr>
                          <a:spLocks noChangeArrowheads="1"/>
                        </a:cNvSpPr>
                      </a:nvSpPr>
                      <a:spPr bwMode="auto">
                        <a:xfrm>
                          <a:off x="419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5" name="Rectangle 661"/>
                        <a:cNvSpPr>
                          <a:spLocks noChangeArrowheads="1"/>
                        </a:cNvSpPr>
                      </a:nvSpPr>
                      <a:spPr bwMode="auto">
                        <a:xfrm>
                          <a:off x="422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6" name="Rectangle 662"/>
                        <a:cNvSpPr>
                          <a:spLocks noChangeArrowheads="1"/>
                        </a:cNvSpPr>
                      </a:nvSpPr>
                      <a:spPr bwMode="auto">
                        <a:xfrm>
                          <a:off x="4255"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7" name="Rectangle 663"/>
                        <a:cNvSpPr>
                          <a:spLocks noChangeArrowheads="1"/>
                        </a:cNvSpPr>
                      </a:nvSpPr>
                      <a:spPr bwMode="auto">
                        <a:xfrm>
                          <a:off x="4285" y="1651"/>
                          <a:ext cx="9"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8" name="Rectangle 664"/>
                        <a:cNvSpPr>
                          <a:spLocks noChangeArrowheads="1"/>
                        </a:cNvSpPr>
                      </a:nvSpPr>
                      <a:spPr bwMode="auto">
                        <a:xfrm>
                          <a:off x="431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89" name="Rectangle 665"/>
                        <a:cNvSpPr>
                          <a:spLocks noChangeArrowheads="1"/>
                        </a:cNvSpPr>
                      </a:nvSpPr>
                      <a:spPr bwMode="auto">
                        <a:xfrm>
                          <a:off x="434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0" name="Rectangle 666"/>
                        <a:cNvSpPr>
                          <a:spLocks noChangeArrowheads="1"/>
                        </a:cNvSpPr>
                      </a:nvSpPr>
                      <a:spPr bwMode="auto">
                        <a:xfrm>
                          <a:off x="437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1" name="Rectangle 667"/>
                        <a:cNvSpPr>
                          <a:spLocks noChangeArrowheads="1"/>
                        </a:cNvSpPr>
                      </a:nvSpPr>
                      <a:spPr bwMode="auto">
                        <a:xfrm>
                          <a:off x="440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2" name="Rectangle 668"/>
                        <a:cNvSpPr>
                          <a:spLocks noChangeArrowheads="1"/>
                        </a:cNvSpPr>
                      </a:nvSpPr>
                      <a:spPr bwMode="auto">
                        <a:xfrm>
                          <a:off x="4434"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3" name="Rectangle 669"/>
                        <a:cNvSpPr>
                          <a:spLocks noChangeArrowheads="1"/>
                        </a:cNvSpPr>
                      </a:nvSpPr>
                      <a:spPr bwMode="auto">
                        <a:xfrm>
                          <a:off x="446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4" name="Rectangle 670"/>
                        <a:cNvSpPr>
                          <a:spLocks noChangeArrowheads="1"/>
                        </a:cNvSpPr>
                      </a:nvSpPr>
                      <a:spPr bwMode="auto">
                        <a:xfrm>
                          <a:off x="449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5" name="Rectangle 671"/>
                        <a:cNvSpPr>
                          <a:spLocks noChangeArrowheads="1"/>
                        </a:cNvSpPr>
                      </a:nvSpPr>
                      <a:spPr bwMode="auto">
                        <a:xfrm>
                          <a:off x="452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6" name="Rectangle 672"/>
                        <a:cNvSpPr>
                          <a:spLocks noChangeArrowheads="1"/>
                        </a:cNvSpPr>
                      </a:nvSpPr>
                      <a:spPr bwMode="auto">
                        <a:xfrm>
                          <a:off x="4553" y="1651"/>
                          <a:ext cx="10" cy="5"/>
                        </a:xfrm>
                        <a:prstGeom prst="rect">
                          <a:avLst/>
                        </a:prstGeom>
                        <a:solidFill>
                          <a:srgbClr val="000000"/>
                        </a:solidFill>
                        <a:ln w="0">
                          <a:solidFill>
                            <a:srgbClr val="0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7" name="Rectangle 673"/>
                        <a:cNvSpPr>
                          <a:spLocks noChangeArrowheads="1"/>
                        </a:cNvSpPr>
                      </a:nvSpPr>
                      <a:spPr bwMode="auto">
                        <a:xfrm>
                          <a:off x="1509" y="3636"/>
                          <a:ext cx="409" cy="43"/>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8" name="Rectangle 674"/>
                        <a:cNvSpPr>
                          <a:spLocks noChangeArrowheads="1"/>
                        </a:cNvSpPr>
                      </a:nvSpPr>
                      <a:spPr bwMode="auto">
                        <a:xfrm>
                          <a:off x="2326" y="2536"/>
                          <a:ext cx="408" cy="1143"/>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499" name="Rectangle 675"/>
                        <a:cNvSpPr>
                          <a:spLocks noChangeArrowheads="1"/>
                        </a:cNvSpPr>
                      </a:nvSpPr>
                      <a:spPr bwMode="auto">
                        <a:xfrm>
                          <a:off x="3142" y="1869"/>
                          <a:ext cx="409" cy="1810"/>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0" name="Rectangle 676"/>
                        <a:cNvSpPr>
                          <a:spLocks noChangeArrowheads="1"/>
                        </a:cNvSpPr>
                      </a:nvSpPr>
                      <a:spPr bwMode="auto">
                        <a:xfrm>
                          <a:off x="3959" y="3161"/>
                          <a:ext cx="408" cy="518"/>
                        </a:xfrm>
                        <a:prstGeom prst="rect">
                          <a:avLst/>
                        </a:prstGeom>
                        <a:solidFill>
                          <a:srgbClr val="800000"/>
                        </a:solidFill>
                        <a:ln w="7938">
                          <a:solidFill>
                            <a:srgbClr val="800000"/>
                          </a:solidFill>
                          <a:miter lim="800000"/>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1" name="Line 677"/>
                        <a:cNvSpPr>
                          <a:spLocks noChangeShapeType="1"/>
                        </a:cNvSpPr>
                      </a:nvSpPr>
                      <a:spPr bwMode="auto">
                        <a:xfrm>
                          <a:off x="1305" y="3679"/>
                          <a:ext cx="3267" cy="0"/>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2" name="Line 678"/>
                        <a:cNvSpPr>
                          <a:spLocks noChangeShapeType="1"/>
                        </a:cNvSpPr>
                      </a:nvSpPr>
                      <a:spPr bwMode="auto">
                        <a:xfrm flipV="1">
                          <a:off x="1305" y="3644"/>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3" name="Line 679"/>
                        <a:cNvSpPr>
                          <a:spLocks noChangeShapeType="1"/>
                        </a:cNvSpPr>
                      </a:nvSpPr>
                      <a:spPr bwMode="auto">
                        <a:xfrm flipV="1">
                          <a:off x="2122" y="3644"/>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4" name="Line 680"/>
                        <a:cNvSpPr>
                          <a:spLocks noChangeShapeType="1"/>
                        </a:cNvSpPr>
                      </a:nvSpPr>
                      <a:spPr bwMode="auto">
                        <a:xfrm flipV="1">
                          <a:off x="2938" y="3644"/>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5" name="Line 681"/>
                        <a:cNvSpPr>
                          <a:spLocks noChangeShapeType="1"/>
                        </a:cNvSpPr>
                      </a:nvSpPr>
                      <a:spPr bwMode="auto">
                        <a:xfrm flipV="1">
                          <a:off x="3755" y="3644"/>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6" name="Line 682"/>
                        <a:cNvSpPr>
                          <a:spLocks noChangeShapeType="1"/>
                        </a:cNvSpPr>
                      </a:nvSpPr>
                      <a:spPr bwMode="auto">
                        <a:xfrm flipV="1">
                          <a:off x="4572" y="3644"/>
                          <a:ext cx="0" cy="35"/>
                        </a:xfrm>
                        <a:prstGeom prst="line">
                          <a:avLst/>
                        </a:prstGeom>
                        <a:noFill/>
                        <a:ln w="7938">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fr-FR"/>
                          </a:p>
                        </a:txBody>
                        <a:useSpRect/>
                      </a:txSp>
                    </a:sp>
                    <a:sp>
                      <a:nvSpPr>
                        <a:cNvPr id="462507" name="Rectangle 683"/>
                        <a:cNvSpPr>
                          <a:spLocks noChangeArrowheads="1"/>
                        </a:cNvSpPr>
                      </a:nvSpPr>
                      <a:spPr bwMode="auto">
                        <a:xfrm>
                          <a:off x="1156" y="3615"/>
                          <a:ext cx="120"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0</a:t>
                            </a:r>
                            <a:endParaRPr lang="en-US"/>
                          </a:p>
                        </a:txBody>
                        <a:useSpRect/>
                      </a:txSp>
                    </a:sp>
                    <a:sp>
                      <a:nvSpPr>
                        <a:cNvPr id="462508" name="Rectangle 684"/>
                        <a:cNvSpPr>
                          <a:spLocks noChangeArrowheads="1"/>
                        </a:cNvSpPr>
                      </a:nvSpPr>
                      <a:spPr bwMode="auto">
                        <a:xfrm>
                          <a:off x="1156" y="3277"/>
                          <a:ext cx="120"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2</a:t>
                            </a:r>
                            <a:endParaRPr lang="en-US"/>
                          </a:p>
                        </a:txBody>
                        <a:useSpRect/>
                      </a:txSp>
                    </a:sp>
                    <a:sp>
                      <a:nvSpPr>
                        <a:cNvPr id="462509" name="Rectangle 685"/>
                        <a:cNvSpPr>
                          <a:spLocks noChangeArrowheads="1"/>
                        </a:cNvSpPr>
                      </a:nvSpPr>
                      <a:spPr bwMode="auto">
                        <a:xfrm>
                          <a:off x="1156" y="2939"/>
                          <a:ext cx="120"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4</a:t>
                            </a:r>
                            <a:endParaRPr lang="en-US"/>
                          </a:p>
                        </a:txBody>
                        <a:useSpRect/>
                      </a:txSp>
                    </a:sp>
                    <a:sp>
                      <a:nvSpPr>
                        <a:cNvPr id="462510" name="Rectangle 686"/>
                        <a:cNvSpPr>
                          <a:spLocks noChangeArrowheads="1"/>
                        </a:cNvSpPr>
                      </a:nvSpPr>
                      <a:spPr bwMode="auto">
                        <a:xfrm>
                          <a:off x="1156" y="2602"/>
                          <a:ext cx="120"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6</a:t>
                            </a:r>
                            <a:endParaRPr lang="en-US"/>
                          </a:p>
                        </a:txBody>
                        <a:useSpRect/>
                      </a:txSp>
                    </a:sp>
                    <a:sp>
                      <a:nvSpPr>
                        <a:cNvPr id="462511" name="Rectangle 687"/>
                        <a:cNvSpPr>
                          <a:spLocks noChangeArrowheads="1"/>
                        </a:cNvSpPr>
                      </a:nvSpPr>
                      <a:spPr bwMode="auto">
                        <a:xfrm>
                          <a:off x="1156" y="2265"/>
                          <a:ext cx="120"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8</a:t>
                            </a:r>
                            <a:endParaRPr lang="en-US"/>
                          </a:p>
                        </a:txBody>
                        <a:useSpRect/>
                      </a:txSp>
                    </a:sp>
                    <a:sp>
                      <a:nvSpPr>
                        <a:cNvPr id="462512" name="Rectangle 688"/>
                        <a:cNvSpPr>
                          <a:spLocks noChangeArrowheads="1"/>
                        </a:cNvSpPr>
                      </a:nvSpPr>
                      <a:spPr bwMode="auto">
                        <a:xfrm>
                          <a:off x="1093" y="1927"/>
                          <a:ext cx="187"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10</a:t>
                            </a:r>
                            <a:endParaRPr lang="en-US"/>
                          </a:p>
                        </a:txBody>
                        <a:useSpRect/>
                      </a:txSp>
                    </a:sp>
                    <a:sp>
                      <a:nvSpPr>
                        <a:cNvPr id="462513" name="Rectangle 689"/>
                        <a:cNvSpPr>
                          <a:spLocks noChangeArrowheads="1"/>
                        </a:cNvSpPr>
                      </a:nvSpPr>
                      <a:spPr bwMode="auto">
                        <a:xfrm>
                          <a:off x="1093" y="1589"/>
                          <a:ext cx="187" cy="162"/>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sz="1400">
                                <a:solidFill>
                                  <a:srgbClr val="000000"/>
                                </a:solidFill>
                              </a:rPr>
                              <a:t>12</a:t>
                            </a:r>
                            <a:endParaRPr lang="en-US"/>
                          </a:p>
                        </a:txBody>
                        <a:useSpRect/>
                      </a:txSp>
                    </a:sp>
                    <a:sp>
                      <a:nvSpPr>
                        <a:cNvPr id="462514" name="Rectangle 690"/>
                        <a:cNvSpPr>
                          <a:spLocks noChangeArrowheads="1"/>
                        </a:cNvSpPr>
                      </a:nvSpPr>
                      <a:spPr bwMode="auto">
                        <a:xfrm>
                          <a:off x="1593" y="3777"/>
                          <a:ext cx="273"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البحرين</a:t>
                            </a:r>
                            <a:endParaRPr lang="en-US"/>
                          </a:p>
                        </a:txBody>
                        <a:useSpRect/>
                      </a:txSp>
                    </a:sp>
                    <a:sp>
                      <a:nvSpPr>
                        <a:cNvPr id="462515" name="Rectangle 691"/>
                        <a:cNvSpPr>
                          <a:spLocks noChangeArrowheads="1"/>
                        </a:cNvSpPr>
                      </a:nvSpPr>
                      <a:spPr bwMode="auto">
                        <a:xfrm>
                          <a:off x="2404" y="3777"/>
                          <a:ext cx="245"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الكويت</a:t>
                            </a:r>
                            <a:endParaRPr lang="en-US"/>
                          </a:p>
                        </a:txBody>
                        <a:useSpRect/>
                      </a:txSp>
                    </a:sp>
                    <a:sp>
                      <a:nvSpPr>
                        <a:cNvPr id="462516" name="Rectangle 692"/>
                        <a:cNvSpPr>
                          <a:spLocks noChangeArrowheads="1"/>
                        </a:cNvSpPr>
                      </a:nvSpPr>
                      <a:spPr bwMode="auto">
                        <a:xfrm>
                          <a:off x="3230" y="3777"/>
                          <a:ext cx="304" cy="10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nSpc>
                                <a:spcPct val="80000"/>
                              </a:lnSpc>
                            </a:pPr>
                            <a:r>
                              <a:rPr lang="ar-SA" sz="1400">
                                <a:solidFill>
                                  <a:srgbClr val="000000"/>
                                </a:solidFill>
                              </a:rPr>
                              <a:t>السعودية</a:t>
                            </a:r>
                            <a:endParaRPr lang="en-US"/>
                          </a:p>
                        </a:txBody>
                        <a:useSpRect/>
                      </a:txSp>
                    </a:sp>
                    <a:sp>
                      <a:nvSpPr>
                        <a:cNvPr id="462517" name="Rectangle 693"/>
                        <a:cNvSpPr>
                          <a:spLocks noChangeArrowheads="1"/>
                        </a:cNvSpPr>
                      </a:nvSpPr>
                      <a:spPr bwMode="auto">
                        <a:xfrm>
                          <a:off x="4043" y="3777"/>
                          <a:ext cx="273" cy="134"/>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ar-SA" sz="1400">
                                <a:solidFill>
                                  <a:srgbClr val="000000"/>
                                </a:solidFill>
                              </a:rPr>
                              <a:t>السودان</a:t>
                            </a:r>
                            <a:endParaRPr lang="en-US"/>
                          </a:p>
                        </a:txBody>
                        <a:useSpRect/>
                      </a:txSp>
                    </a:sp>
                  </a:grpSp>
                </lc:lockedCanvas>
              </a:graphicData>
            </a:graphic>
          </wp:inline>
        </w:drawing>
      </w:r>
    </w:p>
    <w:p w:rsidR="00560A38" w:rsidRPr="002C10B5" w:rsidRDefault="00560A38" w:rsidP="00560A38">
      <w:pPr>
        <w:tabs>
          <w:tab w:val="right" w:pos="567"/>
          <w:tab w:val="right" w:pos="4961"/>
        </w:tabs>
        <w:bidi/>
        <w:spacing w:after="0" w:line="240" w:lineRule="auto"/>
        <w:jc w:val="both"/>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 xml:space="preserve">المصدر: صندوق النقد الدولي: آفاق الاقتصاد الإقليمي، الشرق الأوسط         المصدر: آفاق الاقتصاد الإقليمي، الشرق الأوسط وشمال إفريقيا       </w:t>
      </w:r>
    </w:p>
    <w:p w:rsidR="00560A38" w:rsidRPr="002C10B5" w:rsidRDefault="00560A38" w:rsidP="00560A38">
      <w:pPr>
        <w:tabs>
          <w:tab w:val="right" w:pos="567"/>
          <w:tab w:val="right" w:pos="4819"/>
          <w:tab w:val="right" w:pos="4961"/>
        </w:tabs>
        <w:bidi/>
        <w:spacing w:line="240" w:lineRule="auto"/>
        <w:jc w:val="both"/>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 xml:space="preserve">وشمال </w:t>
      </w:r>
      <w:r w:rsidR="00811A84" w:rsidRPr="002C10B5">
        <w:rPr>
          <w:rFonts w:ascii="Traditional Arabic" w:hAnsi="Traditional Arabic" w:cs="Traditional Arabic" w:hint="cs"/>
          <w:sz w:val="24"/>
          <w:szCs w:val="24"/>
          <w:rtl/>
          <w:lang w:bidi="ar-DZ"/>
        </w:rPr>
        <w:t>إفريقيا</w:t>
      </w:r>
      <w:r w:rsidRPr="002C10B5">
        <w:rPr>
          <w:rFonts w:ascii="Traditional Arabic" w:hAnsi="Traditional Arabic" w:cs="Traditional Arabic"/>
          <w:sz w:val="24"/>
          <w:szCs w:val="24"/>
          <w:rtl/>
          <w:lang w:bidi="ar-DZ"/>
        </w:rPr>
        <w:t xml:space="preserve"> وأفغانستان وباكستان، أكتوبر </w:t>
      </w:r>
      <w:r w:rsidRPr="002C10B5">
        <w:rPr>
          <w:rFonts w:ascii="Traditional Arabic" w:hAnsi="Traditional Arabic" w:cs="Traditional Arabic"/>
          <w:sz w:val="20"/>
          <w:szCs w:val="20"/>
          <w:rtl/>
          <w:lang w:bidi="ar-DZ"/>
        </w:rPr>
        <w:t>2009</w:t>
      </w:r>
      <w:r w:rsidRPr="002C10B5">
        <w:rPr>
          <w:rFonts w:ascii="Traditional Arabic" w:hAnsi="Traditional Arabic" w:cs="Traditional Arabic"/>
          <w:sz w:val="24"/>
          <w:szCs w:val="24"/>
          <w:rtl/>
          <w:lang w:bidi="ar-DZ"/>
        </w:rPr>
        <w:t xml:space="preserve">، ص </w:t>
      </w:r>
      <w:r w:rsidRPr="002C10B5">
        <w:rPr>
          <w:rFonts w:ascii="Traditional Arabic" w:hAnsi="Traditional Arabic" w:cs="Traditional Arabic"/>
          <w:sz w:val="20"/>
          <w:szCs w:val="20"/>
          <w:rtl/>
          <w:lang w:bidi="ar-DZ"/>
        </w:rPr>
        <w:t>18</w:t>
      </w:r>
      <w:r w:rsidRPr="002C10B5">
        <w:rPr>
          <w:rFonts w:ascii="Traditional Arabic" w:hAnsi="Traditional Arabic" w:cs="Traditional Arabic"/>
          <w:sz w:val="24"/>
          <w:szCs w:val="24"/>
          <w:rtl/>
          <w:lang w:bidi="ar-DZ"/>
        </w:rPr>
        <w:t xml:space="preserve">.                    وأفغانستان وباكستان، مرجع سابق، ص </w:t>
      </w:r>
      <w:r w:rsidRPr="002C10B5">
        <w:rPr>
          <w:rFonts w:ascii="Traditional Arabic" w:hAnsi="Traditional Arabic" w:cs="Traditional Arabic"/>
          <w:sz w:val="20"/>
          <w:szCs w:val="20"/>
          <w:rtl/>
          <w:lang w:bidi="ar-DZ"/>
        </w:rPr>
        <w:t>19</w:t>
      </w:r>
      <w:r w:rsidRPr="002C10B5">
        <w:rPr>
          <w:rFonts w:ascii="Traditional Arabic" w:hAnsi="Traditional Arabic" w:cs="Traditional Arabic"/>
          <w:sz w:val="24"/>
          <w:szCs w:val="24"/>
          <w:rtl/>
          <w:lang w:bidi="ar-DZ"/>
        </w:rPr>
        <w:t>.</w:t>
      </w:r>
    </w:p>
    <w:p w:rsidR="007A69BB" w:rsidRDefault="003E5D81" w:rsidP="000B0A8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560A38" w:rsidRPr="002C10B5">
        <w:rPr>
          <w:rFonts w:ascii="Traditional Arabic" w:hAnsi="Traditional Arabic" w:cs="Traditional Arabic"/>
          <w:sz w:val="32"/>
          <w:szCs w:val="32"/>
          <w:rtl/>
          <w:lang w:bidi="ar-DZ"/>
        </w:rPr>
        <w:t>وقد جاء رد الفعل سريعا من معظم السلطات تجاه تردي الأوضاع في القطاع المالي، حيث اتخذت إجراءات استثنائية متنوعة لتخفيف الضائقة الائتمانية والحد من تراجع قيمة رأس المال، عن طريق ضخ الأموال في المؤسسات المالية التي تمر بضغوط مالية، خاصة في الكويت والمملكة العربية السعودية والسودان (</w:t>
      </w:r>
      <w:r w:rsidR="005F2CB0">
        <w:rPr>
          <w:rFonts w:ascii="Traditional Arabic" w:hAnsi="Traditional Arabic" w:cs="Traditional Arabic" w:hint="cs"/>
          <w:sz w:val="32"/>
          <w:szCs w:val="32"/>
          <w:rtl/>
          <w:lang w:bidi="ar-DZ"/>
        </w:rPr>
        <w:t xml:space="preserve">أنظر </w:t>
      </w:r>
      <w:r w:rsidR="00560A38" w:rsidRPr="002C10B5">
        <w:rPr>
          <w:rFonts w:ascii="Traditional Arabic" w:hAnsi="Traditional Arabic" w:cs="Traditional Arabic"/>
          <w:sz w:val="32"/>
          <w:szCs w:val="32"/>
          <w:rtl/>
          <w:lang w:bidi="ar-DZ"/>
        </w:rPr>
        <w:t xml:space="preserve">الشكل </w:t>
      </w:r>
      <w:r w:rsidR="005F2CB0">
        <w:rPr>
          <w:rFonts w:ascii="Traditional Arabic" w:hAnsi="Traditional Arabic" w:cs="Traditional Arabic" w:hint="cs"/>
          <w:sz w:val="32"/>
          <w:szCs w:val="32"/>
          <w:rtl/>
          <w:lang w:bidi="ar-DZ"/>
        </w:rPr>
        <w:t>رقم</w:t>
      </w:r>
      <w:r w:rsidR="00560A38" w:rsidRPr="002C10B5">
        <w:rPr>
          <w:rFonts w:ascii="Traditional Arabic" w:hAnsi="Traditional Arabic" w:cs="Traditional Arabic"/>
          <w:sz w:val="32"/>
          <w:szCs w:val="32"/>
          <w:rtl/>
          <w:lang w:bidi="ar-DZ"/>
        </w:rPr>
        <w:t xml:space="preserve"> </w:t>
      </w:r>
      <w:r w:rsidR="005F2CB0">
        <w:rPr>
          <w:rFonts w:ascii="Traditional Arabic" w:hAnsi="Traditional Arabic" w:cs="Traditional Arabic" w:hint="cs"/>
          <w:sz w:val="24"/>
          <w:szCs w:val="24"/>
          <w:rtl/>
          <w:lang w:bidi="ar-DZ"/>
        </w:rPr>
        <w:t>23</w:t>
      </w:r>
      <w:r w:rsidR="00560A38" w:rsidRPr="002C10B5">
        <w:rPr>
          <w:rFonts w:ascii="Traditional Arabic" w:hAnsi="Traditional Arabic" w:cs="Traditional Arabic"/>
          <w:sz w:val="32"/>
          <w:szCs w:val="32"/>
          <w:rtl/>
          <w:lang w:bidi="ar-DZ"/>
        </w:rPr>
        <w:t>). وقد قامت جميع حكومات مجلس التعاون الخليجي بضخ الأموال مباشرة في الجهاز المصرفي، كما أعلنت البنوك المركزية في بعض البلدان (ليبيا، واليمن، وغالبية أعضاء مجلس التعاون الخليجي) عن خفض سعر الفائدة على أدوات السياسة النقدية، وقد اتسمت إجراءات السياسة المتخذة بالتنوع الكبير كما يلخصها الجدول</w:t>
      </w:r>
      <w:r w:rsidR="00E725C0">
        <w:rPr>
          <w:rFonts w:ascii="Traditional Arabic" w:hAnsi="Traditional Arabic" w:cs="Traditional Arabic" w:hint="cs"/>
          <w:sz w:val="32"/>
          <w:szCs w:val="32"/>
          <w:rtl/>
          <w:lang w:bidi="ar-DZ"/>
        </w:rPr>
        <w:t xml:space="preserve"> رقم</w:t>
      </w:r>
      <w:r w:rsidR="00560A38" w:rsidRPr="002C10B5">
        <w:rPr>
          <w:rFonts w:ascii="Traditional Arabic" w:hAnsi="Traditional Arabic" w:cs="Traditional Arabic"/>
          <w:sz w:val="32"/>
          <w:szCs w:val="32"/>
          <w:rtl/>
          <w:lang w:bidi="ar-DZ"/>
        </w:rPr>
        <w:t xml:space="preserve"> </w:t>
      </w:r>
      <w:r w:rsidR="000B0A80">
        <w:rPr>
          <w:rFonts w:ascii="Traditional Arabic" w:hAnsi="Traditional Arabic" w:cs="Traditional Arabic" w:hint="cs"/>
          <w:sz w:val="24"/>
          <w:szCs w:val="24"/>
          <w:rtl/>
          <w:lang w:bidi="ar-DZ"/>
        </w:rPr>
        <w:t>16</w:t>
      </w:r>
      <w:r w:rsidR="00560A38">
        <w:rPr>
          <w:rFonts w:ascii="Traditional Arabic" w:hAnsi="Traditional Arabic" w:cs="Traditional Arabic"/>
          <w:sz w:val="32"/>
          <w:szCs w:val="32"/>
          <w:rtl/>
          <w:lang w:bidi="ar-DZ"/>
        </w:rPr>
        <w:t>.</w:t>
      </w:r>
    </w:p>
    <w:p w:rsidR="007A69BB" w:rsidRDefault="007A69BB" w:rsidP="007A69BB">
      <w:pPr>
        <w:tabs>
          <w:tab w:val="right" w:pos="567"/>
        </w:tabs>
        <w:bidi/>
        <w:jc w:val="both"/>
        <w:rPr>
          <w:rFonts w:ascii="Traditional Arabic" w:hAnsi="Traditional Arabic" w:cs="Traditional Arabic"/>
          <w:sz w:val="32"/>
          <w:szCs w:val="32"/>
          <w:rtl/>
          <w:lang w:bidi="ar-DZ"/>
        </w:rPr>
      </w:pPr>
    </w:p>
    <w:p w:rsidR="007A69BB" w:rsidRDefault="007A69BB" w:rsidP="007A69BB">
      <w:pPr>
        <w:tabs>
          <w:tab w:val="right" w:pos="567"/>
        </w:tabs>
        <w:bidi/>
        <w:jc w:val="both"/>
        <w:rPr>
          <w:rFonts w:ascii="Traditional Arabic" w:hAnsi="Traditional Arabic" w:cs="Traditional Arabic"/>
          <w:sz w:val="32"/>
          <w:szCs w:val="32"/>
          <w:rtl/>
          <w:lang w:bidi="ar-DZ"/>
        </w:rPr>
      </w:pPr>
    </w:p>
    <w:p w:rsidR="007A69BB" w:rsidRDefault="007A69BB" w:rsidP="007A69BB">
      <w:pPr>
        <w:tabs>
          <w:tab w:val="right" w:pos="567"/>
        </w:tabs>
        <w:bidi/>
        <w:jc w:val="both"/>
        <w:rPr>
          <w:rFonts w:ascii="Traditional Arabic" w:hAnsi="Traditional Arabic" w:cs="Traditional Arabic"/>
          <w:sz w:val="32"/>
          <w:szCs w:val="32"/>
          <w:rtl/>
          <w:lang w:bidi="ar-DZ"/>
        </w:rPr>
      </w:pPr>
    </w:p>
    <w:p w:rsidR="002425BF" w:rsidRDefault="002425BF" w:rsidP="002425BF">
      <w:pPr>
        <w:tabs>
          <w:tab w:val="right" w:pos="567"/>
        </w:tabs>
        <w:bidi/>
        <w:rPr>
          <w:rFonts w:ascii="Traditional Arabic" w:hAnsi="Traditional Arabic" w:cs="Traditional Arabic"/>
          <w:sz w:val="32"/>
          <w:szCs w:val="32"/>
          <w:rtl/>
          <w:lang w:bidi="ar-DZ"/>
        </w:rPr>
      </w:pPr>
    </w:p>
    <w:p w:rsidR="00560A38" w:rsidRPr="002C10B5" w:rsidRDefault="00560A38" w:rsidP="007A69B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p>
    <w:p w:rsidR="00560A38" w:rsidRPr="002425BF" w:rsidRDefault="00042072" w:rsidP="0067613E">
      <w:pPr>
        <w:tabs>
          <w:tab w:val="right" w:pos="567"/>
        </w:tabs>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الجدول رقم</w:t>
      </w:r>
      <w:r w:rsidR="00560A38" w:rsidRPr="002425BF">
        <w:rPr>
          <w:rFonts w:ascii="Traditional Arabic" w:hAnsi="Traditional Arabic" w:cs="Traditional Arabic"/>
          <w:sz w:val="32"/>
          <w:szCs w:val="32"/>
          <w:rtl/>
          <w:lang w:bidi="ar-DZ"/>
        </w:rPr>
        <w:t xml:space="preserve"> </w:t>
      </w:r>
      <w:r w:rsidRPr="00042072">
        <w:rPr>
          <w:rFonts w:ascii="Traditional Arabic" w:hAnsi="Traditional Arabic" w:cs="Traditional Arabic" w:hint="cs"/>
          <w:sz w:val="24"/>
          <w:szCs w:val="24"/>
          <w:rtl/>
          <w:lang w:bidi="ar-DZ"/>
        </w:rPr>
        <w:t>15</w:t>
      </w:r>
      <w:r w:rsidR="00560A38" w:rsidRPr="002425BF">
        <w:rPr>
          <w:rFonts w:ascii="Traditional Arabic" w:hAnsi="Traditional Arabic" w:cs="Traditional Arabic"/>
          <w:sz w:val="32"/>
          <w:szCs w:val="32"/>
          <w:rtl/>
          <w:lang w:bidi="ar-DZ"/>
        </w:rPr>
        <w:t>: محركات التغير في نمو الائتمان الممنوح للقطاع الخاص خلال الأزمة</w:t>
      </w:r>
      <w:r w:rsidR="0023027D">
        <w:rPr>
          <w:rFonts w:ascii="Traditional Arabic" w:hAnsi="Traditional Arabic" w:cs="Traditional Arabic" w:hint="cs"/>
          <w:sz w:val="32"/>
          <w:szCs w:val="32"/>
          <w:rtl/>
          <w:lang w:bidi="ar-DZ"/>
        </w:rPr>
        <w:t xml:space="preserve"> المالية العالمية</w:t>
      </w:r>
      <w:r w:rsidR="002425BF" w:rsidRPr="002425BF">
        <w:rPr>
          <w:rStyle w:val="Appelnotedebasdep"/>
          <w:rFonts w:ascii="Traditional Arabic" w:hAnsi="Traditional Arabic" w:cs="Traditional Arabic"/>
          <w:sz w:val="32"/>
          <w:szCs w:val="32"/>
          <w:lang w:bidi="ar-DZ"/>
        </w:rPr>
        <w:footnoteReference w:customMarkFollows="1" w:id="21"/>
        <w:sym w:font="Symbol" w:char="F02A"/>
      </w:r>
    </w:p>
    <w:tbl>
      <w:tblPr>
        <w:tblStyle w:val="Grilledutableau"/>
        <w:bidiVisual/>
        <w:tblW w:w="0" w:type="auto"/>
        <w:jc w:val="center"/>
        <w:tblInd w:w="-176" w:type="dxa"/>
        <w:tblLook w:val="04A0"/>
      </w:tblPr>
      <w:tblGrid>
        <w:gridCol w:w="1843"/>
        <w:gridCol w:w="1417"/>
        <w:gridCol w:w="1276"/>
        <w:gridCol w:w="1134"/>
        <w:gridCol w:w="1276"/>
        <w:gridCol w:w="1276"/>
        <w:gridCol w:w="1166"/>
      </w:tblGrid>
      <w:tr w:rsidR="00560A38" w:rsidRPr="002C10B5" w:rsidTr="009008D0">
        <w:trPr>
          <w:jc w:val="center"/>
        </w:trPr>
        <w:tc>
          <w:tcPr>
            <w:tcW w:w="6946" w:type="dxa"/>
            <w:gridSpan w:val="5"/>
          </w:tcPr>
          <w:p w:rsidR="00560A38" w:rsidRPr="002C10B5" w:rsidRDefault="00560A38" w:rsidP="002425BF">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مصادر القروض</w:t>
            </w:r>
          </w:p>
        </w:tc>
        <w:tc>
          <w:tcPr>
            <w:tcW w:w="2442" w:type="dxa"/>
            <w:gridSpan w:val="2"/>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الاستخدامات البديلة للقروض</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الودائع والخصوم الأخرى</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الائتمان من البنك المركزي</w:t>
            </w: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صافي التمويل الأجنبي</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رؤوس الأموال وغيرها</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صافي المطالبات على الحكومة</w:t>
            </w: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احتياطات البنوك</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الجزائر</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البحرين</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الكويت</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قطر</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المملكة العربية السعودية</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السودان</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الإمارات العربية المتحدة</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r w:rsidR="00560A38" w:rsidRPr="002C10B5" w:rsidTr="009008D0">
        <w:trPr>
          <w:jc w:val="center"/>
        </w:trPr>
        <w:tc>
          <w:tcPr>
            <w:tcW w:w="1843"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اليمن</w:t>
            </w:r>
          </w:p>
        </w:tc>
        <w:tc>
          <w:tcPr>
            <w:tcW w:w="1417"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34"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c>
          <w:tcPr>
            <w:tcW w:w="127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p>
        </w:tc>
        <w:tc>
          <w:tcPr>
            <w:tcW w:w="1166" w:type="dxa"/>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w:t>
            </w:r>
          </w:p>
        </w:tc>
      </w:tr>
    </w:tbl>
    <w:p w:rsidR="00560A38" w:rsidRPr="002425BF" w:rsidRDefault="00560A38" w:rsidP="003A165A">
      <w:pPr>
        <w:tabs>
          <w:tab w:val="right" w:pos="567"/>
        </w:tabs>
        <w:bidi/>
        <w:spacing w:line="240" w:lineRule="auto"/>
        <w:rPr>
          <w:rFonts w:ascii="Traditional Arabic" w:hAnsi="Traditional Arabic" w:cs="Traditional Arabic"/>
          <w:sz w:val="28"/>
          <w:szCs w:val="28"/>
          <w:rtl/>
          <w:lang w:bidi="ar-DZ"/>
        </w:rPr>
      </w:pPr>
      <w:r w:rsidRPr="002425BF">
        <w:rPr>
          <w:rFonts w:ascii="Traditional Arabic" w:hAnsi="Traditional Arabic" w:cs="Traditional Arabic"/>
          <w:sz w:val="28"/>
          <w:szCs w:val="28"/>
          <w:rtl/>
          <w:lang w:bidi="ar-DZ"/>
        </w:rPr>
        <w:t xml:space="preserve">المصدر: صندوق النقد الدولي: تصنيف مجموعات البلدان والمناطق، </w:t>
      </w:r>
      <w:r w:rsidRPr="002425BF">
        <w:rPr>
          <w:rFonts w:ascii="Traditional Arabic" w:hAnsi="Traditional Arabic" w:cs="Traditional Arabic" w:hint="cs"/>
          <w:sz w:val="28"/>
          <w:szCs w:val="28"/>
          <w:rtl/>
          <w:lang w:bidi="ar-DZ"/>
        </w:rPr>
        <w:t>مرجع سابق</w:t>
      </w:r>
      <w:r w:rsidRPr="002425BF">
        <w:rPr>
          <w:rFonts w:ascii="Traditional Arabic" w:hAnsi="Traditional Arabic" w:cs="Traditional Arabic"/>
          <w:sz w:val="28"/>
          <w:szCs w:val="28"/>
          <w:rtl/>
          <w:lang w:bidi="ar-DZ"/>
        </w:rPr>
        <w:t xml:space="preserve">، ص </w:t>
      </w:r>
      <w:r w:rsidRPr="002425BF">
        <w:rPr>
          <w:rFonts w:ascii="Traditional Arabic" w:hAnsi="Traditional Arabic" w:cs="Traditional Arabic"/>
          <w:sz w:val="24"/>
          <w:szCs w:val="24"/>
          <w:rtl/>
          <w:lang w:bidi="ar-DZ"/>
        </w:rPr>
        <w:t>8</w:t>
      </w:r>
      <w:r w:rsidRPr="002425BF">
        <w:rPr>
          <w:rFonts w:ascii="Traditional Arabic" w:hAnsi="Traditional Arabic" w:cs="Traditional Arabic"/>
          <w:sz w:val="28"/>
          <w:szCs w:val="28"/>
          <w:rtl/>
          <w:lang w:bidi="ar-DZ"/>
        </w:rPr>
        <w:t>.</w:t>
      </w:r>
    </w:p>
    <w:p w:rsidR="00560A38" w:rsidRPr="002425BF" w:rsidRDefault="00560A38" w:rsidP="0067613E">
      <w:pPr>
        <w:tabs>
          <w:tab w:val="right" w:pos="567"/>
        </w:tabs>
        <w:bidi/>
        <w:spacing w:after="0" w:line="240" w:lineRule="auto"/>
        <w:jc w:val="center"/>
        <w:rPr>
          <w:rFonts w:ascii="Traditional Arabic" w:hAnsi="Traditional Arabic" w:cs="Traditional Arabic"/>
          <w:sz w:val="32"/>
          <w:szCs w:val="32"/>
          <w:rtl/>
          <w:lang w:bidi="ar-DZ"/>
        </w:rPr>
      </w:pPr>
      <w:r w:rsidRPr="002425BF">
        <w:rPr>
          <w:rFonts w:ascii="Traditional Arabic" w:hAnsi="Traditional Arabic" w:cs="Traditional Arabic"/>
          <w:sz w:val="32"/>
          <w:szCs w:val="32"/>
          <w:rtl/>
          <w:lang w:bidi="ar-DZ"/>
        </w:rPr>
        <w:t xml:space="preserve">الجدول رقم </w:t>
      </w:r>
      <w:r w:rsidR="000B0A80" w:rsidRPr="000B0A80">
        <w:rPr>
          <w:rFonts w:ascii="Traditional Arabic" w:hAnsi="Traditional Arabic" w:cs="Traditional Arabic" w:hint="cs"/>
          <w:sz w:val="24"/>
          <w:szCs w:val="24"/>
          <w:rtl/>
          <w:lang w:bidi="ar-DZ"/>
        </w:rPr>
        <w:t>16</w:t>
      </w:r>
      <w:r w:rsidRPr="002425BF">
        <w:rPr>
          <w:rFonts w:ascii="Traditional Arabic" w:hAnsi="Traditional Arabic" w:cs="Traditional Arabic"/>
          <w:sz w:val="32"/>
          <w:szCs w:val="32"/>
          <w:rtl/>
          <w:lang w:bidi="ar-DZ"/>
        </w:rPr>
        <w:t>: البلدان المصدرة للنفط في المنطقة العربية:</w:t>
      </w:r>
      <w:r w:rsidR="002425BF">
        <w:rPr>
          <w:rFonts w:ascii="Traditional Arabic" w:hAnsi="Traditional Arabic" w:cs="Traditional Arabic"/>
          <w:sz w:val="32"/>
          <w:szCs w:val="32"/>
          <w:rtl/>
          <w:lang w:bidi="ar-DZ"/>
        </w:rPr>
        <w:t xml:space="preserve"> إجراءات مواجهة الأزمة</w:t>
      </w:r>
      <w:r w:rsidR="00F84E08">
        <w:rPr>
          <w:rFonts w:ascii="Traditional Arabic" w:hAnsi="Traditional Arabic" w:cs="Traditional Arabic" w:hint="cs"/>
          <w:sz w:val="32"/>
          <w:szCs w:val="32"/>
          <w:rtl/>
          <w:lang w:bidi="ar-DZ"/>
        </w:rPr>
        <w:t xml:space="preserve"> المالية العالمية</w:t>
      </w:r>
    </w:p>
    <w:tbl>
      <w:tblPr>
        <w:tblStyle w:val="Grilledutableau"/>
        <w:bidiVisual/>
        <w:tblW w:w="9346" w:type="dxa"/>
        <w:jc w:val="center"/>
        <w:tblLook w:val="04A0"/>
      </w:tblPr>
      <w:tblGrid>
        <w:gridCol w:w="2367"/>
        <w:gridCol w:w="1104"/>
        <w:gridCol w:w="1104"/>
        <w:gridCol w:w="1263"/>
        <w:gridCol w:w="1105"/>
        <w:gridCol w:w="1263"/>
        <w:gridCol w:w="1140"/>
      </w:tblGrid>
      <w:tr w:rsidR="00560A38" w:rsidRPr="002C10B5" w:rsidTr="009008D0">
        <w:trPr>
          <w:trHeight w:val="392"/>
          <w:jc w:val="center"/>
        </w:trPr>
        <w:tc>
          <w:tcPr>
            <w:tcW w:w="2367" w:type="dxa"/>
            <w:vMerge w:val="restart"/>
            <w:vAlign w:val="center"/>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البلد</w:t>
            </w:r>
          </w:p>
        </w:tc>
        <w:tc>
          <w:tcPr>
            <w:tcW w:w="4576" w:type="dxa"/>
            <w:gridSpan w:val="4"/>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القطاع المالي</w:t>
            </w:r>
          </w:p>
        </w:tc>
        <w:tc>
          <w:tcPr>
            <w:tcW w:w="2403" w:type="dxa"/>
            <w:gridSpan w:val="2"/>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الاقتصاد الكلي</w:t>
            </w:r>
          </w:p>
        </w:tc>
      </w:tr>
      <w:tr w:rsidR="009008D0" w:rsidRPr="002C10B5" w:rsidTr="009008D0">
        <w:trPr>
          <w:trHeight w:val="144"/>
          <w:jc w:val="center"/>
        </w:trPr>
        <w:tc>
          <w:tcPr>
            <w:tcW w:w="2367" w:type="dxa"/>
            <w:vMerge/>
          </w:tcPr>
          <w:p w:rsidR="00560A38" w:rsidRPr="002C10B5" w:rsidRDefault="00560A38" w:rsidP="00C83DCD">
            <w:pPr>
              <w:bidi/>
              <w:rPr>
                <w:rFonts w:ascii="Traditional Arabic" w:hAnsi="Traditional Arabic" w:cs="Traditional Arabic"/>
                <w:sz w:val="26"/>
                <w:szCs w:val="26"/>
                <w:rtl/>
                <w:lang w:bidi="ar-DZ"/>
              </w:rPr>
            </w:pPr>
          </w:p>
        </w:tc>
        <w:tc>
          <w:tcPr>
            <w:tcW w:w="1104" w:type="dxa"/>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ضمانات الودائع</w:t>
            </w:r>
          </w:p>
        </w:tc>
        <w:tc>
          <w:tcPr>
            <w:tcW w:w="1104" w:type="dxa"/>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دعم السيولة</w:t>
            </w:r>
          </w:p>
        </w:tc>
        <w:tc>
          <w:tcPr>
            <w:tcW w:w="1263" w:type="dxa"/>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ضخ رؤوس الأموال</w:t>
            </w:r>
          </w:p>
        </w:tc>
        <w:tc>
          <w:tcPr>
            <w:tcW w:w="1105" w:type="dxa"/>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شراء الأسهم</w:t>
            </w:r>
          </w:p>
        </w:tc>
        <w:tc>
          <w:tcPr>
            <w:tcW w:w="1263" w:type="dxa"/>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التسيير النقدي</w:t>
            </w:r>
          </w:p>
        </w:tc>
        <w:tc>
          <w:tcPr>
            <w:tcW w:w="1140" w:type="dxa"/>
          </w:tcPr>
          <w:p w:rsidR="00560A38" w:rsidRPr="002C10B5" w:rsidRDefault="00560A38" w:rsidP="00C83DCD">
            <w:pPr>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التنشيط المالي</w:t>
            </w: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البحرين</w:t>
            </w: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104" w:type="dxa"/>
          </w:tcPr>
          <w:p w:rsidR="00560A38" w:rsidRPr="002C10B5" w:rsidRDefault="00560A38" w:rsidP="00C83DCD">
            <w:pPr>
              <w:pStyle w:val="Paragraphedeliste"/>
              <w:numPr>
                <w:ilvl w:val="0"/>
                <w:numId w:val="3"/>
              </w:num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3"/>
              </w:numPr>
              <w:bidi/>
              <w:rPr>
                <w:rFonts w:ascii="Traditional Arabic" w:hAnsi="Traditional Arabic" w:cs="Traditional Arabic"/>
                <w:sz w:val="26"/>
                <w:szCs w:val="26"/>
                <w:rtl/>
                <w:lang w:bidi="ar-DZ"/>
              </w:rPr>
            </w:pPr>
          </w:p>
        </w:tc>
        <w:tc>
          <w:tcPr>
            <w:tcW w:w="1140" w:type="dxa"/>
          </w:tcPr>
          <w:p w:rsidR="00560A38" w:rsidRPr="002C10B5" w:rsidRDefault="00560A38" w:rsidP="00C83DCD">
            <w:pPr>
              <w:bidi/>
              <w:rPr>
                <w:rFonts w:ascii="Traditional Arabic" w:hAnsi="Traditional Arabic" w:cs="Traditional Arabic"/>
                <w:sz w:val="26"/>
                <w:szCs w:val="26"/>
                <w:rtl/>
                <w:lang w:bidi="ar-DZ"/>
              </w:rPr>
            </w:pP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الكويت</w:t>
            </w:r>
          </w:p>
        </w:tc>
        <w:tc>
          <w:tcPr>
            <w:tcW w:w="1104"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104"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pStyle w:val="Paragraphedeliste"/>
              <w:numPr>
                <w:ilvl w:val="0"/>
                <w:numId w:val="2"/>
              </w:num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140" w:type="dxa"/>
          </w:tcPr>
          <w:p w:rsidR="00560A38" w:rsidRPr="002C10B5" w:rsidRDefault="00560A38" w:rsidP="00C83DCD">
            <w:pPr>
              <w:bidi/>
              <w:rPr>
                <w:rFonts w:ascii="Traditional Arabic" w:hAnsi="Traditional Arabic" w:cs="Traditional Arabic"/>
                <w:sz w:val="26"/>
                <w:szCs w:val="26"/>
                <w:rtl/>
                <w:lang w:bidi="ar-DZ"/>
              </w:rPr>
            </w:pPr>
          </w:p>
        </w:tc>
      </w:tr>
      <w:tr w:rsidR="009008D0" w:rsidRPr="002C10B5" w:rsidTr="009008D0">
        <w:trPr>
          <w:trHeight w:val="377"/>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عمان</w:t>
            </w: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104"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pStyle w:val="Paragraphedeliste"/>
              <w:numPr>
                <w:ilvl w:val="0"/>
                <w:numId w:val="2"/>
              </w:num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140" w:type="dxa"/>
          </w:tcPr>
          <w:p w:rsidR="00560A38" w:rsidRPr="002C10B5" w:rsidRDefault="00560A38" w:rsidP="00C83DCD">
            <w:pPr>
              <w:bidi/>
              <w:rPr>
                <w:rFonts w:ascii="Traditional Arabic" w:hAnsi="Traditional Arabic" w:cs="Traditional Arabic"/>
                <w:sz w:val="26"/>
                <w:szCs w:val="26"/>
                <w:rtl/>
                <w:lang w:bidi="ar-DZ"/>
              </w:rPr>
            </w:pP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قطر</w:t>
            </w:r>
          </w:p>
        </w:tc>
        <w:tc>
          <w:tcPr>
            <w:tcW w:w="1104" w:type="dxa"/>
          </w:tcPr>
          <w:p w:rsidR="00560A38" w:rsidRPr="002C10B5" w:rsidRDefault="00560A38" w:rsidP="00C83DCD">
            <w:pPr>
              <w:bidi/>
              <w:ind w:left="360"/>
              <w:rPr>
                <w:rFonts w:ascii="Traditional Arabic" w:hAnsi="Traditional Arabic" w:cs="Traditional Arabic"/>
                <w:sz w:val="26"/>
                <w:szCs w:val="26"/>
                <w:rtl/>
                <w:lang w:bidi="ar-DZ"/>
              </w:rPr>
            </w:pPr>
          </w:p>
        </w:tc>
        <w:tc>
          <w:tcPr>
            <w:tcW w:w="1104"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105" w:type="dxa"/>
          </w:tcPr>
          <w:p w:rsidR="00560A38" w:rsidRPr="002C10B5" w:rsidRDefault="00560A38" w:rsidP="00C83DCD">
            <w:pPr>
              <w:pStyle w:val="Paragraphedeliste"/>
              <w:numPr>
                <w:ilvl w:val="0"/>
                <w:numId w:val="2"/>
              </w:num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2"/>
              </w:numPr>
              <w:bidi/>
              <w:rPr>
                <w:rFonts w:ascii="Traditional Arabic" w:hAnsi="Traditional Arabic" w:cs="Traditional Arabic"/>
                <w:sz w:val="26"/>
                <w:szCs w:val="26"/>
                <w:rtl/>
                <w:lang w:bidi="ar-DZ"/>
              </w:rPr>
            </w:pPr>
          </w:p>
        </w:tc>
        <w:tc>
          <w:tcPr>
            <w:tcW w:w="1140" w:type="dxa"/>
          </w:tcPr>
          <w:p w:rsidR="00560A38" w:rsidRPr="002C10B5" w:rsidRDefault="00560A38" w:rsidP="00C83DCD">
            <w:pPr>
              <w:bidi/>
              <w:rPr>
                <w:rFonts w:ascii="Traditional Arabic" w:hAnsi="Traditional Arabic" w:cs="Traditional Arabic"/>
                <w:sz w:val="26"/>
                <w:szCs w:val="26"/>
                <w:rtl/>
                <w:lang w:bidi="ar-DZ"/>
              </w:rPr>
            </w:pP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المملكة العربية السعودية</w:t>
            </w:r>
          </w:p>
        </w:tc>
        <w:tc>
          <w:tcPr>
            <w:tcW w:w="1104"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04"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40"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r>
      <w:tr w:rsidR="009008D0" w:rsidRPr="002C10B5" w:rsidTr="009008D0">
        <w:trPr>
          <w:trHeight w:val="377"/>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الإمارات العربية المتحدة</w:t>
            </w:r>
          </w:p>
        </w:tc>
        <w:tc>
          <w:tcPr>
            <w:tcW w:w="1104"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04"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05" w:type="dxa"/>
          </w:tcPr>
          <w:p w:rsidR="00560A38" w:rsidRPr="002C10B5" w:rsidRDefault="00560A38" w:rsidP="00C83DCD">
            <w:p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40"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الجزائر</w:t>
            </w: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40"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ليبيا</w:t>
            </w:r>
          </w:p>
        </w:tc>
        <w:tc>
          <w:tcPr>
            <w:tcW w:w="1104"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pStyle w:val="Paragraphedeliste"/>
              <w:numPr>
                <w:ilvl w:val="0"/>
                <w:numId w:val="1"/>
              </w:num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40"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r>
      <w:tr w:rsidR="009008D0" w:rsidRPr="002C10B5" w:rsidTr="009008D0">
        <w:trPr>
          <w:trHeight w:val="392"/>
          <w:jc w:val="center"/>
        </w:trPr>
        <w:tc>
          <w:tcPr>
            <w:tcW w:w="2367" w:type="dxa"/>
          </w:tcPr>
          <w:p w:rsidR="00560A38" w:rsidRPr="002C10B5" w:rsidRDefault="00560A38" w:rsidP="00C83DCD">
            <w:pPr>
              <w:bidi/>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اليمن</w:t>
            </w: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104" w:type="dxa"/>
          </w:tcPr>
          <w:p w:rsidR="00560A38" w:rsidRPr="002C10B5" w:rsidRDefault="00560A38" w:rsidP="00C83DCD">
            <w:pPr>
              <w:bidi/>
              <w:rPr>
                <w:rFonts w:ascii="Traditional Arabic" w:hAnsi="Traditional Arabic" w:cs="Traditional Arabic"/>
                <w:sz w:val="26"/>
                <w:szCs w:val="26"/>
                <w:rtl/>
                <w:lang w:bidi="ar-DZ"/>
              </w:rPr>
            </w:pPr>
          </w:p>
        </w:tc>
        <w:tc>
          <w:tcPr>
            <w:tcW w:w="1263" w:type="dxa"/>
          </w:tcPr>
          <w:p w:rsidR="00560A38" w:rsidRPr="002C10B5" w:rsidRDefault="00560A38" w:rsidP="00C83DCD">
            <w:pPr>
              <w:bidi/>
              <w:rPr>
                <w:rFonts w:ascii="Traditional Arabic" w:hAnsi="Traditional Arabic" w:cs="Traditional Arabic"/>
                <w:sz w:val="26"/>
                <w:szCs w:val="26"/>
                <w:rtl/>
                <w:lang w:bidi="ar-DZ"/>
              </w:rPr>
            </w:pPr>
          </w:p>
        </w:tc>
        <w:tc>
          <w:tcPr>
            <w:tcW w:w="1105" w:type="dxa"/>
          </w:tcPr>
          <w:p w:rsidR="00560A38" w:rsidRPr="002C10B5" w:rsidRDefault="00560A38" w:rsidP="00C83DCD">
            <w:pPr>
              <w:bidi/>
              <w:jc w:val="center"/>
              <w:rPr>
                <w:rFonts w:ascii="Traditional Arabic" w:hAnsi="Traditional Arabic" w:cs="Traditional Arabic"/>
                <w:sz w:val="26"/>
                <w:szCs w:val="26"/>
                <w:rtl/>
                <w:lang w:bidi="ar-DZ"/>
              </w:rPr>
            </w:pPr>
          </w:p>
        </w:tc>
        <w:tc>
          <w:tcPr>
            <w:tcW w:w="1263" w:type="dxa"/>
          </w:tcPr>
          <w:p w:rsidR="00560A38" w:rsidRPr="002C10B5" w:rsidRDefault="00560A38" w:rsidP="00C83DCD">
            <w:pPr>
              <w:pStyle w:val="Paragraphedeliste"/>
              <w:numPr>
                <w:ilvl w:val="0"/>
                <w:numId w:val="1"/>
              </w:numPr>
              <w:bidi/>
              <w:rPr>
                <w:rFonts w:ascii="Traditional Arabic" w:hAnsi="Traditional Arabic" w:cs="Traditional Arabic"/>
                <w:sz w:val="26"/>
                <w:szCs w:val="26"/>
                <w:rtl/>
                <w:lang w:bidi="ar-DZ"/>
              </w:rPr>
            </w:pPr>
          </w:p>
        </w:tc>
        <w:tc>
          <w:tcPr>
            <w:tcW w:w="1140" w:type="dxa"/>
          </w:tcPr>
          <w:p w:rsidR="00560A38" w:rsidRPr="002C10B5" w:rsidRDefault="00560A38" w:rsidP="00C83DCD">
            <w:pPr>
              <w:bidi/>
              <w:rPr>
                <w:rFonts w:ascii="Traditional Arabic" w:hAnsi="Traditional Arabic" w:cs="Traditional Arabic"/>
                <w:sz w:val="26"/>
                <w:szCs w:val="26"/>
                <w:rtl/>
                <w:lang w:bidi="ar-DZ"/>
              </w:rPr>
            </w:pPr>
          </w:p>
        </w:tc>
      </w:tr>
    </w:tbl>
    <w:p w:rsidR="00560A38" w:rsidRPr="002C10B5" w:rsidRDefault="00560A38" w:rsidP="003A165A">
      <w:pPr>
        <w:tabs>
          <w:tab w:val="right" w:pos="567"/>
        </w:tabs>
        <w:bidi/>
        <w:spacing w:line="240" w:lineRule="auto"/>
        <w:rPr>
          <w:rFonts w:ascii="Traditional Arabic" w:hAnsi="Traditional Arabic" w:cs="Traditional Arabic"/>
          <w:sz w:val="28"/>
          <w:szCs w:val="28"/>
          <w:rtl/>
          <w:lang w:bidi="ar-DZ"/>
        </w:rPr>
      </w:pPr>
      <w:r w:rsidRPr="002C10B5">
        <w:rPr>
          <w:rFonts w:ascii="Traditional Arabic" w:hAnsi="Traditional Arabic" w:cs="Traditional Arabic"/>
          <w:sz w:val="28"/>
          <w:szCs w:val="28"/>
          <w:rtl/>
          <w:lang w:bidi="ar-DZ"/>
        </w:rPr>
        <w:t xml:space="preserve">المصدر: صندوق النقد الدولي: تصنيف مجموعات البلدان والمناطق، مرجع سابق، ص </w:t>
      </w:r>
      <w:r w:rsidRPr="002425BF">
        <w:rPr>
          <w:rFonts w:ascii="Traditional Arabic" w:hAnsi="Traditional Arabic" w:cs="Traditional Arabic"/>
          <w:sz w:val="24"/>
          <w:szCs w:val="24"/>
          <w:rtl/>
          <w:lang w:bidi="ar-DZ"/>
        </w:rPr>
        <w:t>8</w:t>
      </w:r>
      <w:r w:rsidRPr="002C10B5">
        <w:rPr>
          <w:rFonts w:ascii="Traditional Arabic" w:hAnsi="Traditional Arabic" w:cs="Traditional Arabic"/>
          <w:sz w:val="28"/>
          <w:szCs w:val="28"/>
          <w:rtl/>
          <w:lang w:bidi="ar-DZ"/>
        </w:rPr>
        <w:t>.</w:t>
      </w:r>
    </w:p>
    <w:p w:rsidR="00560A38" w:rsidRPr="002C10B5" w:rsidRDefault="00560A38" w:rsidP="002050A4">
      <w:pPr>
        <w:tabs>
          <w:tab w:val="right" w:pos="567"/>
        </w:tabs>
        <w:bidi/>
        <w:jc w:val="both"/>
        <w:rPr>
          <w:rFonts w:ascii="Traditional Arabic" w:hAnsi="Traditional Arabic" w:cs="Traditional Arabic"/>
          <w:sz w:val="32"/>
          <w:szCs w:val="32"/>
          <w:rtl/>
          <w:lang w:bidi="ar-DZ"/>
        </w:rPr>
      </w:pPr>
      <w:r w:rsidRPr="002C10B5">
        <w:rPr>
          <w:rFonts w:ascii="Traditional Arabic" w:hAnsi="Traditional Arabic" w:cs="Traditional Arabic"/>
          <w:sz w:val="32"/>
          <w:szCs w:val="32"/>
          <w:rtl/>
          <w:lang w:bidi="ar-DZ"/>
        </w:rPr>
        <w:lastRenderedPageBreak/>
        <w:t xml:space="preserve">       وقد تمكنت الأجهزة المصرفية من امتصاص الضغوط، بدعم من الإجراءات التي اتخذتها السلطات وبمساندة مستويات نموها المرتفع في السنوات السابقة على الأزمة، وكانت البنوك لا تزال محتفظة بملاءتها وربحيتها في نهاية عام </w:t>
      </w:r>
      <w:r w:rsidRPr="002C10B5">
        <w:rPr>
          <w:rFonts w:ascii="Traditional Arabic" w:hAnsi="Traditional Arabic" w:cs="Traditional Arabic"/>
          <w:sz w:val="24"/>
          <w:szCs w:val="24"/>
          <w:rtl/>
          <w:lang w:bidi="ar-DZ"/>
        </w:rPr>
        <w:t>2008</w:t>
      </w:r>
      <w:r w:rsidRPr="002C10B5">
        <w:rPr>
          <w:rFonts w:ascii="Traditional Arabic" w:hAnsi="Traditional Arabic" w:cs="Traditional Arabic"/>
          <w:sz w:val="32"/>
          <w:szCs w:val="32"/>
          <w:rtl/>
          <w:lang w:bidi="ar-DZ"/>
        </w:rPr>
        <w:t>، بالرغم مما شهدته من انخفاض (</w:t>
      </w:r>
      <w:r w:rsidR="000E4CCD">
        <w:rPr>
          <w:rFonts w:ascii="Traditional Arabic" w:hAnsi="Traditional Arabic" w:cs="Traditional Arabic" w:hint="cs"/>
          <w:sz w:val="32"/>
          <w:szCs w:val="32"/>
          <w:rtl/>
          <w:lang w:bidi="ar-DZ"/>
        </w:rPr>
        <w:t xml:space="preserve">أنظر الجدول </w:t>
      </w:r>
      <w:r w:rsidRPr="002C10B5">
        <w:rPr>
          <w:rFonts w:ascii="Traditional Arabic" w:hAnsi="Traditional Arabic" w:cs="Traditional Arabic"/>
          <w:sz w:val="32"/>
          <w:szCs w:val="32"/>
          <w:rtl/>
          <w:lang w:bidi="ar-DZ"/>
        </w:rPr>
        <w:t xml:space="preserve">الجدول </w:t>
      </w:r>
      <w:r w:rsidR="002050A4">
        <w:rPr>
          <w:rFonts w:ascii="Traditional Arabic" w:hAnsi="Traditional Arabic" w:cs="Traditional Arabic" w:hint="cs"/>
          <w:sz w:val="24"/>
          <w:szCs w:val="24"/>
          <w:rtl/>
          <w:lang w:bidi="ar-DZ"/>
        </w:rPr>
        <w:t>17</w:t>
      </w:r>
      <w:r w:rsidRPr="002C10B5">
        <w:rPr>
          <w:rFonts w:ascii="Traditional Arabic" w:hAnsi="Traditional Arabic" w:cs="Traditional Arabic"/>
          <w:sz w:val="32"/>
          <w:szCs w:val="32"/>
          <w:rtl/>
          <w:lang w:bidi="ar-DZ"/>
        </w:rPr>
        <w:t xml:space="preserve">)، وظلت نسب كفاية رأس المال أعلى بكثير من المعيار التنظيمي المقرر، كما ظلت نسبة القروض المتعثرة منخفضة، وتجاوزت نسبة تغطية مخصصات الخسائر </w:t>
      </w:r>
      <w:r w:rsidRPr="002C10B5">
        <w:rPr>
          <w:rFonts w:ascii="Traditional Arabic" w:hAnsi="Traditional Arabic" w:cs="Traditional Arabic"/>
          <w:sz w:val="24"/>
          <w:szCs w:val="24"/>
          <w:rtl/>
          <w:lang w:bidi="ar-DZ"/>
        </w:rPr>
        <w:t xml:space="preserve">100% </w:t>
      </w:r>
      <w:r w:rsidRPr="002C10B5">
        <w:rPr>
          <w:rFonts w:ascii="Traditional Arabic" w:hAnsi="Traditional Arabic" w:cs="Traditional Arabic"/>
          <w:sz w:val="32"/>
          <w:szCs w:val="32"/>
          <w:rtl/>
          <w:lang w:bidi="ar-DZ"/>
        </w:rPr>
        <w:t xml:space="preserve">(عمان، المملكة العربية السعودية، الإمارات العربية المتحدة). وبالنسبة للجهاز المصرفي في دول مجلس التعاون الخليجي، فالبنوك الإسلامية التي حققت معدلات نمو مرتفعة للغاية في السنوات السابقة في وضع أفضل لتحمل هذه الصدمة نظرا لارتفاع حجم احتياطاتها من رأس المال والسيولة مقارنة بالبنوك الأخرى. </w:t>
      </w:r>
    </w:p>
    <w:p w:rsidR="00560A38" w:rsidRPr="00A8065A" w:rsidRDefault="00560A38" w:rsidP="0067613E">
      <w:pPr>
        <w:tabs>
          <w:tab w:val="right" w:pos="567"/>
        </w:tabs>
        <w:bidi/>
        <w:jc w:val="center"/>
        <w:rPr>
          <w:rFonts w:ascii="Traditional Arabic" w:hAnsi="Traditional Arabic" w:cs="Traditional Arabic"/>
          <w:sz w:val="32"/>
          <w:szCs w:val="32"/>
          <w:rtl/>
          <w:lang w:bidi="ar-DZ"/>
        </w:rPr>
      </w:pPr>
      <w:r w:rsidRPr="00A8065A">
        <w:rPr>
          <w:rFonts w:ascii="Traditional Arabic" w:hAnsi="Traditional Arabic" w:cs="Traditional Arabic"/>
          <w:sz w:val="32"/>
          <w:szCs w:val="32"/>
          <w:rtl/>
          <w:lang w:bidi="ar-DZ"/>
        </w:rPr>
        <w:t xml:space="preserve">الجدول رقم </w:t>
      </w:r>
      <w:r w:rsidR="008038A7" w:rsidRPr="008038A7">
        <w:rPr>
          <w:rFonts w:ascii="Traditional Arabic" w:hAnsi="Traditional Arabic" w:cs="Traditional Arabic" w:hint="cs"/>
          <w:sz w:val="24"/>
          <w:szCs w:val="24"/>
          <w:rtl/>
          <w:lang w:bidi="ar-DZ"/>
        </w:rPr>
        <w:t>17</w:t>
      </w:r>
      <w:r w:rsidRPr="00A8065A">
        <w:rPr>
          <w:rFonts w:ascii="Traditional Arabic" w:hAnsi="Traditional Arabic" w:cs="Traditional Arabic"/>
          <w:sz w:val="32"/>
          <w:szCs w:val="32"/>
          <w:rtl/>
          <w:lang w:bidi="ar-DZ"/>
        </w:rPr>
        <w:t>: مؤشرات السلامة المالية في بعض البلدان</w:t>
      </w:r>
      <w:r w:rsidR="00DE72DD">
        <w:rPr>
          <w:rFonts w:ascii="Traditional Arabic" w:hAnsi="Traditional Arabic" w:cs="Traditional Arabic" w:hint="cs"/>
          <w:sz w:val="32"/>
          <w:szCs w:val="32"/>
          <w:rtl/>
          <w:lang w:bidi="ar-DZ"/>
        </w:rPr>
        <w:t xml:space="preserve"> العربية</w:t>
      </w:r>
      <w:r w:rsidRPr="00A8065A">
        <w:rPr>
          <w:rFonts w:ascii="Traditional Arabic" w:hAnsi="Traditional Arabic" w:cs="Traditional Arabic"/>
          <w:sz w:val="32"/>
          <w:szCs w:val="32"/>
          <w:rtl/>
          <w:lang w:bidi="ar-DZ"/>
        </w:rPr>
        <w:t xml:space="preserve">، نهاية </w:t>
      </w:r>
      <w:r w:rsidRPr="00A8065A">
        <w:rPr>
          <w:rFonts w:ascii="Traditional Arabic" w:hAnsi="Traditional Arabic" w:cs="Traditional Arabic"/>
          <w:sz w:val="24"/>
          <w:szCs w:val="24"/>
          <w:rtl/>
          <w:lang w:bidi="ar-DZ"/>
        </w:rPr>
        <w:t>2008</w:t>
      </w:r>
    </w:p>
    <w:tbl>
      <w:tblPr>
        <w:tblStyle w:val="Grilledutableau"/>
        <w:bidiVisual/>
        <w:tblW w:w="0" w:type="auto"/>
        <w:tblLook w:val="04A0"/>
      </w:tblPr>
      <w:tblGrid>
        <w:gridCol w:w="2092"/>
        <w:gridCol w:w="1701"/>
        <w:gridCol w:w="1985"/>
        <w:gridCol w:w="1842"/>
        <w:gridCol w:w="1592"/>
      </w:tblGrid>
      <w:tr w:rsidR="00560A38" w:rsidRPr="002C10B5" w:rsidTr="00C83DCD">
        <w:tc>
          <w:tcPr>
            <w:tcW w:w="2092" w:type="dxa"/>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البلد</w:t>
            </w:r>
          </w:p>
        </w:tc>
        <w:tc>
          <w:tcPr>
            <w:tcW w:w="1701" w:type="dxa"/>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نسبة كفاية رأس المال</w:t>
            </w:r>
          </w:p>
        </w:tc>
        <w:tc>
          <w:tcPr>
            <w:tcW w:w="1985" w:type="dxa"/>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نسبة القروض المتعثرة إلى مجموع القروض الإجمالية</w:t>
            </w:r>
          </w:p>
        </w:tc>
        <w:tc>
          <w:tcPr>
            <w:tcW w:w="1842" w:type="dxa"/>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نسبة مخصصات الخسائر إلى القروض المتعثرة</w:t>
            </w:r>
          </w:p>
        </w:tc>
        <w:tc>
          <w:tcPr>
            <w:tcW w:w="1592" w:type="dxa"/>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العائد على رأس المال</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الجزائر</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12.9</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35.5</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البحرين</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18.1</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2.3</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84.0</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16.9</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الكويت</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16.0</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3.1</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84.7</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27.8</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ليبيا</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16.2</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20.2</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32.9</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عمان</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14.7</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2.4</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119.3</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14.1</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قطر</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15.6</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1.2</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83.2</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21.5</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المملكة العربية السعودية</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16.0</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1.4</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153.3</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35.1</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السودان</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10.5</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23.5</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الإمارات العربية المتحدة</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13.3</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2.5</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101.5</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21.1</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اليمن</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14.6</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18.0</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62.3</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11.4</w:t>
            </w:r>
          </w:p>
        </w:tc>
      </w:tr>
      <w:tr w:rsidR="00560A38" w:rsidRPr="002C10B5" w:rsidTr="00D05117">
        <w:tc>
          <w:tcPr>
            <w:tcW w:w="2092"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المتوسط في بلدان الأسواق الصاعدة الأوروبية</w:t>
            </w:r>
          </w:p>
        </w:tc>
        <w:tc>
          <w:tcPr>
            <w:tcW w:w="1701"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15.8</w:t>
            </w:r>
          </w:p>
        </w:tc>
        <w:tc>
          <w:tcPr>
            <w:tcW w:w="1985"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6.5</w:t>
            </w:r>
          </w:p>
        </w:tc>
        <w:tc>
          <w:tcPr>
            <w:tcW w:w="184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58.5</w:t>
            </w:r>
          </w:p>
        </w:tc>
        <w:tc>
          <w:tcPr>
            <w:tcW w:w="1592" w:type="dxa"/>
            <w:vAlign w:val="center"/>
          </w:tcPr>
          <w:p w:rsidR="00560A38" w:rsidRPr="002C10B5" w:rsidRDefault="00560A38" w:rsidP="00D05117">
            <w:pPr>
              <w:tabs>
                <w:tab w:val="right" w:pos="567"/>
              </w:tabs>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6.5</w:t>
            </w:r>
          </w:p>
        </w:tc>
      </w:tr>
    </w:tbl>
    <w:p w:rsidR="00560A38" w:rsidRPr="002C10B5" w:rsidRDefault="00560A38" w:rsidP="003A165A">
      <w:pPr>
        <w:tabs>
          <w:tab w:val="right" w:pos="567"/>
        </w:tabs>
        <w:bidi/>
        <w:rPr>
          <w:rFonts w:ascii="Traditional Arabic" w:hAnsi="Traditional Arabic" w:cs="Traditional Arabic"/>
          <w:sz w:val="32"/>
          <w:szCs w:val="32"/>
          <w:rtl/>
          <w:lang w:bidi="ar-DZ"/>
        </w:rPr>
      </w:pPr>
      <w:r w:rsidRPr="002C10B5">
        <w:rPr>
          <w:rFonts w:ascii="Traditional Arabic" w:hAnsi="Traditional Arabic" w:cs="Traditional Arabic"/>
          <w:sz w:val="32"/>
          <w:szCs w:val="32"/>
          <w:rtl/>
          <w:lang w:bidi="ar-DZ"/>
        </w:rPr>
        <w:t xml:space="preserve">المصدر: </w:t>
      </w:r>
      <w:r w:rsidRPr="002C10B5">
        <w:rPr>
          <w:rFonts w:ascii="Traditional Arabic" w:hAnsi="Traditional Arabic" w:cs="Traditional Arabic"/>
          <w:sz w:val="28"/>
          <w:szCs w:val="28"/>
          <w:rtl/>
          <w:lang w:bidi="ar-DZ"/>
        </w:rPr>
        <w:t xml:space="preserve">صندوق النقد الدولي: تصنيف مجموعات البلدان والمناطق، مرجع سابق، ص </w:t>
      </w:r>
      <w:r w:rsidRPr="002C10B5">
        <w:rPr>
          <w:rFonts w:ascii="Traditional Arabic" w:hAnsi="Traditional Arabic" w:cs="Traditional Arabic"/>
          <w:rtl/>
          <w:lang w:bidi="ar-DZ"/>
        </w:rPr>
        <w:t>11</w:t>
      </w:r>
      <w:r w:rsidRPr="002C10B5">
        <w:rPr>
          <w:rFonts w:ascii="Traditional Arabic" w:hAnsi="Traditional Arabic" w:cs="Traditional Arabic"/>
          <w:sz w:val="28"/>
          <w:szCs w:val="28"/>
          <w:rtl/>
          <w:lang w:bidi="ar-DZ"/>
        </w:rPr>
        <w:t>.</w:t>
      </w:r>
    </w:p>
    <w:p w:rsidR="00560A38" w:rsidRPr="002C10B5"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   وتشابهت المخاطر التي واجهت البنوك الإسلامية والبنوك التقليدية، غير أن البنوك الإسلامية، على خلاف البنوك التقليدية، يحظر عليها أي تعرض مباشر لمخاطر المشتقات المالية أو مخاطر الأوراق المالية الصادرة عن المؤسسات المالية التقليدية، والتي وقع عليها الضرر الأكبر من جراء الأزمة العالمية، فقد كان التعرض المباشر لمخاطر الاستثمار في الأسهم (والمشتقات في حالة البنوك التقليدية) منخفضا للغاية في كلا النوعين من البنوك.  </w:t>
      </w:r>
    </w:p>
    <w:p w:rsidR="00560A38" w:rsidRPr="002C10B5" w:rsidRDefault="00560A38" w:rsidP="00E90BB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w:t>
      </w:r>
      <w:r w:rsidRPr="002C10B5">
        <w:rPr>
          <w:rFonts w:ascii="Traditional Arabic" w:hAnsi="Traditional Arabic" w:cs="Traditional Arabic"/>
          <w:sz w:val="32"/>
          <w:szCs w:val="32"/>
          <w:rtl/>
          <w:lang w:bidi="ar-DZ"/>
        </w:rPr>
        <w:t xml:space="preserve">  ويبدوا أن الفرق الرئيسي في نوع الانكشاف للمخاطر هو مخاطر تركز الأصول التي تعرضت لها البنوك الإسلامية في بلدان معينة، فرغم أن انكشاف البنوك الإسلامية لقطاعي العقارات والتشييد الخطرين أقل في المملكة العربية السعودية والكويت والبحرين، فهو أعلى بكثير من المتوسط المناظر في الإمارات العربية المتحدة وقطر</w:t>
      </w:r>
      <w:r w:rsidR="00E90BB1">
        <w:rPr>
          <w:rFonts w:ascii="Traditional Arabic" w:hAnsi="Traditional Arabic" w:cs="Traditional Arabic" w:hint="cs"/>
          <w:sz w:val="32"/>
          <w:szCs w:val="32"/>
          <w:rtl/>
          <w:lang w:bidi="ar-DZ"/>
        </w:rPr>
        <w:t xml:space="preserve">. </w:t>
      </w:r>
    </w:p>
    <w:p w:rsidR="00B05417" w:rsidRDefault="00560A38" w:rsidP="0067613E">
      <w:pPr>
        <w:tabs>
          <w:tab w:val="right" w:pos="567"/>
        </w:tabs>
        <w:bidi/>
        <w:spacing w:after="0" w:line="240" w:lineRule="auto"/>
        <w:jc w:val="center"/>
        <w:rPr>
          <w:rFonts w:ascii="Traditional Arabic" w:hAnsi="Traditional Arabic" w:cs="Traditional Arabic"/>
          <w:sz w:val="32"/>
          <w:szCs w:val="32"/>
          <w:rtl/>
          <w:lang w:bidi="ar-DZ"/>
        </w:rPr>
      </w:pPr>
      <w:r w:rsidRPr="00B05417">
        <w:rPr>
          <w:rFonts w:ascii="Traditional Arabic" w:hAnsi="Traditional Arabic" w:cs="Traditional Arabic"/>
          <w:sz w:val="32"/>
          <w:szCs w:val="32"/>
          <w:rtl/>
          <w:lang w:bidi="ar-DZ"/>
        </w:rPr>
        <w:t>الجدول رقم</w:t>
      </w:r>
      <w:r w:rsidR="00CB0C9A">
        <w:rPr>
          <w:rFonts w:ascii="Traditional Arabic" w:hAnsi="Traditional Arabic" w:cs="Traditional Arabic" w:hint="cs"/>
          <w:sz w:val="32"/>
          <w:szCs w:val="32"/>
          <w:rtl/>
          <w:lang w:bidi="ar-DZ"/>
        </w:rPr>
        <w:t xml:space="preserve"> </w:t>
      </w:r>
      <w:r w:rsidR="00CB0C9A" w:rsidRPr="00CB0C9A">
        <w:rPr>
          <w:rFonts w:ascii="Traditional Arabic" w:hAnsi="Traditional Arabic" w:cs="Traditional Arabic" w:hint="cs"/>
          <w:sz w:val="24"/>
          <w:szCs w:val="24"/>
          <w:rtl/>
          <w:lang w:bidi="ar-DZ"/>
        </w:rPr>
        <w:t>18</w:t>
      </w:r>
      <w:r w:rsidRPr="00B05417">
        <w:rPr>
          <w:rFonts w:ascii="Traditional Arabic" w:hAnsi="Traditional Arabic" w:cs="Traditional Arabic"/>
          <w:sz w:val="32"/>
          <w:szCs w:val="32"/>
          <w:rtl/>
          <w:lang w:bidi="ar-DZ"/>
        </w:rPr>
        <w:t>: مؤشرات البنوك الإسلامية والجهاز المصرفي في مجلس التعاون الخليجي</w:t>
      </w:r>
    </w:p>
    <w:p w:rsidR="00560A38" w:rsidRPr="00B05417" w:rsidRDefault="00560A38" w:rsidP="0067613E">
      <w:pPr>
        <w:tabs>
          <w:tab w:val="right" w:pos="567"/>
        </w:tabs>
        <w:bidi/>
        <w:spacing w:after="0" w:line="240" w:lineRule="auto"/>
        <w:jc w:val="center"/>
        <w:rPr>
          <w:rFonts w:ascii="Traditional Arabic" w:hAnsi="Traditional Arabic" w:cs="Traditional Arabic"/>
          <w:sz w:val="32"/>
          <w:szCs w:val="32"/>
          <w:rtl/>
          <w:lang w:bidi="ar-DZ"/>
        </w:rPr>
      </w:pPr>
      <w:r w:rsidRPr="00B05417">
        <w:rPr>
          <w:rFonts w:ascii="Traditional Arabic" w:hAnsi="Traditional Arabic" w:cs="Traditional Arabic"/>
          <w:sz w:val="32"/>
          <w:szCs w:val="32"/>
          <w:rtl/>
          <w:lang w:bidi="ar-DZ"/>
        </w:rPr>
        <w:t>(</w:t>
      </w:r>
      <w:r w:rsidRPr="00B05417">
        <w:rPr>
          <w:rFonts w:ascii="Traditional Arabic" w:hAnsi="Traditional Arabic" w:cs="Traditional Arabic"/>
          <w:sz w:val="24"/>
          <w:szCs w:val="24"/>
          <w:rtl/>
          <w:lang w:bidi="ar-DZ"/>
        </w:rPr>
        <w:t>%</w:t>
      </w:r>
      <w:r w:rsidRPr="00B05417">
        <w:rPr>
          <w:rFonts w:ascii="Traditional Arabic" w:hAnsi="Traditional Arabic" w:cs="Traditional Arabic"/>
          <w:sz w:val="32"/>
          <w:szCs w:val="32"/>
          <w:rtl/>
          <w:lang w:bidi="ar-DZ"/>
        </w:rPr>
        <w:t xml:space="preserve">، </w:t>
      </w:r>
      <w:r w:rsidRPr="00B05417">
        <w:rPr>
          <w:rFonts w:ascii="Traditional Arabic" w:hAnsi="Traditional Arabic" w:cs="Traditional Arabic"/>
          <w:sz w:val="24"/>
          <w:szCs w:val="24"/>
          <w:rtl/>
          <w:lang w:bidi="ar-DZ"/>
        </w:rPr>
        <w:t xml:space="preserve">2008 </w:t>
      </w:r>
      <w:r w:rsidRPr="00B05417">
        <w:rPr>
          <w:rFonts w:ascii="Traditional Arabic" w:hAnsi="Traditional Arabic" w:cs="Traditional Arabic"/>
          <w:sz w:val="32"/>
          <w:szCs w:val="32"/>
          <w:rtl/>
          <w:lang w:bidi="ar-DZ"/>
        </w:rPr>
        <w:t xml:space="preserve">والنصف الأول من </w:t>
      </w:r>
      <w:r w:rsidRPr="00B05417">
        <w:rPr>
          <w:rFonts w:ascii="Traditional Arabic" w:hAnsi="Traditional Arabic" w:cs="Traditional Arabic"/>
          <w:sz w:val="24"/>
          <w:szCs w:val="24"/>
          <w:rtl/>
          <w:lang w:bidi="ar-DZ"/>
        </w:rPr>
        <w:t>2009</w:t>
      </w:r>
      <w:r w:rsidR="00B05417">
        <w:rPr>
          <w:rFonts w:ascii="Traditional Arabic" w:hAnsi="Traditional Arabic" w:cs="Traditional Arabic"/>
          <w:sz w:val="32"/>
          <w:szCs w:val="32"/>
          <w:rtl/>
          <w:lang w:bidi="ar-DZ"/>
        </w:rPr>
        <w:t>)</w:t>
      </w:r>
    </w:p>
    <w:tbl>
      <w:tblPr>
        <w:tblStyle w:val="Grilledutableau"/>
        <w:bidiVisual/>
        <w:tblW w:w="10040" w:type="dxa"/>
        <w:tblInd w:w="-176" w:type="dxa"/>
        <w:tblLayout w:type="fixed"/>
        <w:tblLook w:val="04A0"/>
      </w:tblPr>
      <w:tblGrid>
        <w:gridCol w:w="2090"/>
        <w:gridCol w:w="661"/>
        <w:gridCol w:w="662"/>
        <w:gridCol w:w="661"/>
        <w:gridCol w:w="662"/>
        <w:gridCol w:w="662"/>
        <w:gridCol w:w="664"/>
        <w:gridCol w:w="662"/>
        <w:gridCol w:w="664"/>
        <w:gridCol w:w="662"/>
        <w:gridCol w:w="649"/>
        <w:gridCol w:w="677"/>
        <w:gridCol w:w="664"/>
      </w:tblGrid>
      <w:tr w:rsidR="00560A38" w:rsidRPr="002C10B5" w:rsidTr="00C83DCD">
        <w:trPr>
          <w:trHeight w:val="361"/>
        </w:trPr>
        <w:tc>
          <w:tcPr>
            <w:tcW w:w="2090" w:type="dxa"/>
          </w:tcPr>
          <w:p w:rsidR="00560A38" w:rsidRPr="002C10B5" w:rsidRDefault="00560A38" w:rsidP="00B05417">
            <w:pPr>
              <w:tabs>
                <w:tab w:val="right" w:pos="567"/>
              </w:tabs>
              <w:bidi/>
              <w:jc w:val="both"/>
              <w:rPr>
                <w:rFonts w:ascii="Traditional Arabic" w:hAnsi="Traditional Arabic" w:cs="Traditional Arabic"/>
                <w:sz w:val="24"/>
                <w:szCs w:val="24"/>
                <w:rtl/>
                <w:lang w:bidi="ar-DZ"/>
              </w:rPr>
            </w:pPr>
          </w:p>
        </w:tc>
        <w:tc>
          <w:tcPr>
            <w:tcW w:w="1323" w:type="dxa"/>
            <w:gridSpan w:val="2"/>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المملكة العربية السعودية</w:t>
            </w:r>
          </w:p>
        </w:tc>
        <w:tc>
          <w:tcPr>
            <w:tcW w:w="1323" w:type="dxa"/>
            <w:gridSpan w:val="2"/>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الكويت</w:t>
            </w:r>
          </w:p>
        </w:tc>
        <w:tc>
          <w:tcPr>
            <w:tcW w:w="1326" w:type="dxa"/>
            <w:gridSpan w:val="2"/>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الإمارات العربية المتحدة</w:t>
            </w:r>
          </w:p>
        </w:tc>
        <w:tc>
          <w:tcPr>
            <w:tcW w:w="1326" w:type="dxa"/>
            <w:gridSpan w:val="2"/>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البحرين</w:t>
            </w:r>
          </w:p>
        </w:tc>
        <w:tc>
          <w:tcPr>
            <w:tcW w:w="1311" w:type="dxa"/>
            <w:gridSpan w:val="2"/>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قطر</w:t>
            </w:r>
          </w:p>
        </w:tc>
        <w:tc>
          <w:tcPr>
            <w:tcW w:w="1341" w:type="dxa"/>
            <w:gridSpan w:val="2"/>
            <w:vAlign w:val="center"/>
          </w:tcPr>
          <w:p w:rsidR="00560A38" w:rsidRPr="002C10B5" w:rsidRDefault="00560A38" w:rsidP="00C83DCD">
            <w:pPr>
              <w:tabs>
                <w:tab w:val="right" w:pos="567"/>
              </w:tabs>
              <w:bidi/>
              <w:jc w:val="center"/>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المتوسط لمجلس التعاون الخليجي</w:t>
            </w:r>
          </w:p>
        </w:tc>
      </w:tr>
      <w:tr w:rsidR="00560A38" w:rsidRPr="002C10B5" w:rsidTr="00C83DCD">
        <w:trPr>
          <w:trHeight w:val="721"/>
        </w:trPr>
        <w:tc>
          <w:tcPr>
            <w:tcW w:w="2090" w:type="dxa"/>
          </w:tcPr>
          <w:p w:rsidR="00560A38" w:rsidRPr="002C10B5" w:rsidRDefault="00560A38" w:rsidP="00C83DCD">
            <w:pPr>
              <w:tabs>
                <w:tab w:val="right" w:pos="567"/>
              </w:tabs>
              <w:bidi/>
              <w:jc w:val="both"/>
              <w:rPr>
                <w:rFonts w:ascii="Traditional Arabic" w:hAnsi="Traditional Arabic" w:cs="Traditional Arabic"/>
                <w:sz w:val="24"/>
                <w:szCs w:val="24"/>
                <w:rtl/>
                <w:lang w:bidi="ar-DZ"/>
              </w:rPr>
            </w:pPr>
          </w:p>
        </w:tc>
        <w:tc>
          <w:tcPr>
            <w:tcW w:w="661"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بنوك إسلامية</w:t>
            </w:r>
          </w:p>
        </w:tc>
        <w:tc>
          <w:tcPr>
            <w:tcW w:w="662"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كل البنوك</w:t>
            </w:r>
          </w:p>
        </w:tc>
        <w:tc>
          <w:tcPr>
            <w:tcW w:w="661"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بنوك إسلامية</w:t>
            </w:r>
          </w:p>
        </w:tc>
        <w:tc>
          <w:tcPr>
            <w:tcW w:w="662"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كل البنوك</w:t>
            </w:r>
          </w:p>
        </w:tc>
        <w:tc>
          <w:tcPr>
            <w:tcW w:w="662"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بنوك إسلامية</w:t>
            </w:r>
          </w:p>
        </w:tc>
        <w:tc>
          <w:tcPr>
            <w:tcW w:w="664"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كل البنوك</w:t>
            </w:r>
          </w:p>
        </w:tc>
        <w:tc>
          <w:tcPr>
            <w:tcW w:w="662"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بنوك إسلامية</w:t>
            </w:r>
          </w:p>
        </w:tc>
        <w:tc>
          <w:tcPr>
            <w:tcW w:w="664"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كل البنوك</w:t>
            </w:r>
          </w:p>
        </w:tc>
        <w:tc>
          <w:tcPr>
            <w:tcW w:w="662"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بنوك إسلامية</w:t>
            </w:r>
          </w:p>
        </w:tc>
        <w:tc>
          <w:tcPr>
            <w:tcW w:w="649"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كل البنوك</w:t>
            </w:r>
          </w:p>
        </w:tc>
        <w:tc>
          <w:tcPr>
            <w:tcW w:w="677"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بنوك إسلامية</w:t>
            </w:r>
          </w:p>
        </w:tc>
        <w:tc>
          <w:tcPr>
            <w:tcW w:w="664" w:type="dxa"/>
          </w:tcPr>
          <w:p w:rsidR="00560A38" w:rsidRPr="002C10B5" w:rsidRDefault="00560A38" w:rsidP="00C83DCD">
            <w:pPr>
              <w:tabs>
                <w:tab w:val="right" w:pos="567"/>
              </w:tabs>
              <w:bidi/>
              <w:jc w:val="both"/>
              <w:rPr>
                <w:rFonts w:ascii="Traditional Arabic" w:hAnsi="Traditional Arabic" w:cs="Traditional Arabic"/>
                <w:rtl/>
                <w:lang w:bidi="ar-DZ"/>
              </w:rPr>
            </w:pPr>
            <w:r w:rsidRPr="002C10B5">
              <w:rPr>
                <w:rFonts w:ascii="Traditional Arabic" w:hAnsi="Traditional Arabic" w:cs="Traditional Arabic"/>
                <w:rtl/>
                <w:lang w:bidi="ar-DZ"/>
              </w:rPr>
              <w:t>كل البنوك</w:t>
            </w:r>
          </w:p>
        </w:tc>
      </w:tr>
      <w:tr w:rsidR="00560A38" w:rsidRPr="002C10B5" w:rsidTr="00C83DCD">
        <w:trPr>
          <w:trHeight w:val="361"/>
        </w:trPr>
        <w:tc>
          <w:tcPr>
            <w:tcW w:w="2090"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نسبة كفاية رأس المال.</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22.1</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16.0</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21.7</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16.0</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12.8</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13.3</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24.5</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18.1</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17.9</w:t>
            </w:r>
          </w:p>
        </w:tc>
        <w:tc>
          <w:tcPr>
            <w:tcW w:w="649"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15.6</w:t>
            </w:r>
          </w:p>
        </w:tc>
        <w:tc>
          <w:tcPr>
            <w:tcW w:w="677"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19.8</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15.7</w:t>
            </w:r>
          </w:p>
        </w:tc>
      </w:tr>
      <w:tr w:rsidR="00560A38" w:rsidRPr="002C10B5" w:rsidTr="00C83DCD">
        <w:trPr>
          <w:trHeight w:val="709"/>
        </w:trPr>
        <w:tc>
          <w:tcPr>
            <w:tcW w:w="2090"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التغير في مستوى الربحية (</w:t>
            </w:r>
            <w:r w:rsidRPr="002C10B5">
              <w:rPr>
                <w:rFonts w:ascii="Traditional Arabic" w:hAnsi="Traditional Arabic" w:cs="Traditional Arabic"/>
                <w:rtl/>
                <w:lang w:bidi="ar-DZ"/>
              </w:rPr>
              <w:t>2007-2008</w:t>
            </w:r>
            <w:r w:rsidRPr="002C10B5">
              <w:rPr>
                <w:rFonts w:ascii="Traditional Arabic" w:hAnsi="Traditional Arabic" w:cs="Traditional Arabic"/>
                <w:sz w:val="26"/>
                <w:szCs w:val="26"/>
                <w:rtl/>
                <w:lang w:bidi="ar-DZ"/>
              </w:rPr>
              <w:t>).</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2.0</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-11.8</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-42.7</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-80.1</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0.7</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7.9</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18.8</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-4.6</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4.5</w:t>
            </w:r>
          </w:p>
        </w:tc>
        <w:tc>
          <w:tcPr>
            <w:tcW w:w="649"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21.7</w:t>
            </w:r>
          </w:p>
        </w:tc>
        <w:tc>
          <w:tcPr>
            <w:tcW w:w="677"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-6.6</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-13.9</w:t>
            </w:r>
          </w:p>
        </w:tc>
      </w:tr>
      <w:tr w:rsidR="00560A38" w:rsidRPr="002C10B5" w:rsidTr="00C83DCD">
        <w:trPr>
          <w:trHeight w:val="709"/>
        </w:trPr>
        <w:tc>
          <w:tcPr>
            <w:tcW w:w="2090"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 xml:space="preserve">التغير في مستوى الربحية (النصف الأول من </w:t>
            </w:r>
            <w:r w:rsidRPr="002C10B5">
              <w:rPr>
                <w:rFonts w:ascii="Traditional Arabic" w:hAnsi="Traditional Arabic" w:cs="Traditional Arabic"/>
                <w:rtl/>
                <w:lang w:bidi="ar-DZ"/>
              </w:rPr>
              <w:t>2009</w:t>
            </w:r>
            <w:r w:rsidRPr="002C10B5">
              <w:rPr>
                <w:rFonts w:ascii="Traditional Arabic" w:hAnsi="Traditional Arabic" w:cs="Traditional Arabic"/>
                <w:sz w:val="26"/>
                <w:szCs w:val="26"/>
                <w:rtl/>
                <w:lang w:bidi="ar-DZ"/>
              </w:rPr>
              <w:t xml:space="preserve">- النصف الأول من </w:t>
            </w:r>
            <w:r w:rsidRPr="002C10B5">
              <w:rPr>
                <w:rFonts w:ascii="Traditional Arabic" w:hAnsi="Traditional Arabic" w:cs="Traditional Arabic"/>
                <w:rtl/>
                <w:lang w:bidi="ar-DZ"/>
              </w:rPr>
              <w:t>2008</w:t>
            </w:r>
            <w:r w:rsidRPr="002C10B5">
              <w:rPr>
                <w:rFonts w:ascii="Traditional Arabic" w:hAnsi="Traditional Arabic" w:cs="Traditional Arabic"/>
                <w:sz w:val="26"/>
                <w:szCs w:val="26"/>
                <w:rtl/>
                <w:lang w:bidi="ar-DZ"/>
              </w:rPr>
              <w:t>).</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2.9</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-11.9</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-71.9</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-65.3</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-34.2</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-19.5</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-46.5</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-33.7</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0.0</w:t>
            </w:r>
          </w:p>
        </w:tc>
        <w:tc>
          <w:tcPr>
            <w:tcW w:w="649"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0.1</w:t>
            </w:r>
          </w:p>
        </w:tc>
        <w:tc>
          <w:tcPr>
            <w:tcW w:w="677"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-29.0</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-23.5</w:t>
            </w:r>
          </w:p>
        </w:tc>
      </w:tr>
      <w:tr w:rsidR="00560A38" w:rsidRPr="002C10B5" w:rsidTr="00C83DCD">
        <w:trPr>
          <w:trHeight w:val="361"/>
        </w:trPr>
        <w:tc>
          <w:tcPr>
            <w:tcW w:w="2090"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التغير في مستوى الربحية (</w:t>
            </w:r>
            <w:r w:rsidRPr="002C10B5">
              <w:rPr>
                <w:rFonts w:ascii="Traditional Arabic" w:hAnsi="Traditional Arabic" w:cs="Traditional Arabic"/>
                <w:rtl/>
                <w:lang w:bidi="ar-DZ"/>
              </w:rPr>
              <w:t xml:space="preserve">2008 </w:t>
            </w:r>
            <w:r w:rsidRPr="002C10B5">
              <w:rPr>
                <w:rFonts w:ascii="Traditional Arabic" w:hAnsi="Traditional Arabic" w:cs="Traditional Arabic"/>
                <w:sz w:val="26"/>
                <w:szCs w:val="26"/>
                <w:rtl/>
                <w:lang w:bidi="ar-DZ"/>
              </w:rPr>
              <w:t xml:space="preserve">والنصف الأول من </w:t>
            </w:r>
            <w:r w:rsidRPr="002C10B5">
              <w:rPr>
                <w:rFonts w:ascii="Traditional Arabic" w:hAnsi="Traditional Arabic" w:cs="Traditional Arabic"/>
                <w:rtl/>
                <w:lang w:bidi="ar-DZ"/>
              </w:rPr>
              <w:t xml:space="preserve">2009 </w:t>
            </w:r>
            <w:r w:rsidRPr="002C10B5">
              <w:rPr>
                <w:rFonts w:ascii="Traditional Arabic" w:hAnsi="Traditional Arabic" w:cs="Traditional Arabic"/>
                <w:sz w:val="26"/>
                <w:szCs w:val="26"/>
                <w:rtl/>
                <w:lang w:bidi="ar-DZ"/>
              </w:rPr>
              <w:t xml:space="preserve">مقابل </w:t>
            </w:r>
            <w:r w:rsidRPr="002C10B5">
              <w:rPr>
                <w:rFonts w:ascii="Traditional Arabic" w:hAnsi="Traditional Arabic" w:cs="Traditional Arabic"/>
                <w:rtl/>
                <w:lang w:bidi="ar-DZ"/>
              </w:rPr>
              <w:t>2007</w:t>
            </w:r>
            <w:r w:rsidRPr="002C10B5">
              <w:rPr>
                <w:rFonts w:ascii="Traditional Arabic" w:hAnsi="Traditional Arabic" w:cs="Traditional Arabic"/>
                <w:sz w:val="26"/>
                <w:szCs w:val="26"/>
                <w:rtl/>
                <w:lang w:bidi="ar-DZ"/>
              </w:rPr>
              <w:t>).</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lang w:bidi="ar-DZ"/>
              </w:rPr>
              <w:t>4.3</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-7.2</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-49.7</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-65.8</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-0.8</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10.0</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8.2</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-3.2</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2.8</w:t>
            </w:r>
          </w:p>
        </w:tc>
        <w:tc>
          <w:tcPr>
            <w:tcW w:w="649"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25.4</w:t>
            </w:r>
          </w:p>
        </w:tc>
        <w:tc>
          <w:tcPr>
            <w:tcW w:w="677"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-8.8</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-10.2</w:t>
            </w:r>
          </w:p>
        </w:tc>
      </w:tr>
      <w:tr w:rsidR="00560A38" w:rsidRPr="002C10B5" w:rsidTr="00C83DCD">
        <w:trPr>
          <w:trHeight w:val="361"/>
        </w:trPr>
        <w:tc>
          <w:tcPr>
            <w:tcW w:w="2090"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العائد على الأصول.</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3.7</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2.1</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1.6</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3.2</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1.7</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2.2</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2.6</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1.3</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6.6</w:t>
            </w:r>
          </w:p>
        </w:tc>
        <w:tc>
          <w:tcPr>
            <w:tcW w:w="649"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2.6</w:t>
            </w:r>
          </w:p>
        </w:tc>
        <w:tc>
          <w:tcPr>
            <w:tcW w:w="677"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3.2</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2.3</w:t>
            </w:r>
          </w:p>
        </w:tc>
      </w:tr>
      <w:tr w:rsidR="00560A38" w:rsidRPr="002C10B5" w:rsidTr="00C83DCD">
        <w:trPr>
          <w:trHeight w:val="361"/>
        </w:trPr>
        <w:tc>
          <w:tcPr>
            <w:tcW w:w="2090" w:type="dxa"/>
          </w:tcPr>
          <w:p w:rsidR="00560A38" w:rsidRPr="002C10B5" w:rsidRDefault="00560A38" w:rsidP="00C83DCD">
            <w:pPr>
              <w:tabs>
                <w:tab w:val="right" w:pos="567"/>
              </w:tabs>
              <w:bidi/>
              <w:jc w:val="both"/>
              <w:rPr>
                <w:rFonts w:ascii="Traditional Arabic" w:hAnsi="Traditional Arabic" w:cs="Traditional Arabic"/>
                <w:sz w:val="26"/>
                <w:szCs w:val="26"/>
                <w:rtl/>
                <w:lang w:bidi="ar-DZ"/>
              </w:rPr>
            </w:pPr>
            <w:r w:rsidRPr="002C10B5">
              <w:rPr>
                <w:rFonts w:ascii="Traditional Arabic" w:hAnsi="Traditional Arabic" w:cs="Traditional Arabic"/>
                <w:sz w:val="26"/>
                <w:szCs w:val="26"/>
                <w:rtl/>
                <w:lang w:bidi="ar-DZ"/>
              </w:rPr>
              <w:t>حجم الانكشاف لقطاعي العقارات والتشييد (</w:t>
            </w:r>
            <w:r w:rsidRPr="002C10B5">
              <w:rPr>
                <w:rFonts w:ascii="Traditional Arabic" w:hAnsi="Traditional Arabic" w:cs="Traditional Arabic"/>
                <w:rtl/>
                <w:lang w:bidi="ar-DZ"/>
              </w:rPr>
              <w:t xml:space="preserve">% </w:t>
            </w:r>
            <w:r w:rsidRPr="002C10B5">
              <w:rPr>
                <w:rFonts w:ascii="Traditional Arabic" w:hAnsi="Traditional Arabic" w:cs="Traditional Arabic"/>
                <w:sz w:val="26"/>
                <w:szCs w:val="26"/>
                <w:rtl/>
                <w:lang w:bidi="ar-DZ"/>
              </w:rPr>
              <w:t>من إجمالي القروض).</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5.6</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7.3</w:t>
            </w:r>
          </w:p>
        </w:tc>
        <w:tc>
          <w:tcPr>
            <w:tcW w:w="661"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22.1</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31.4</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25.7</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12.9</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11.3</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26.2</w:t>
            </w:r>
          </w:p>
        </w:tc>
        <w:tc>
          <w:tcPr>
            <w:tcW w:w="662"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38.3</w:t>
            </w:r>
          </w:p>
        </w:tc>
        <w:tc>
          <w:tcPr>
            <w:tcW w:w="649"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18.4</w:t>
            </w:r>
          </w:p>
        </w:tc>
        <w:tc>
          <w:tcPr>
            <w:tcW w:w="677"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20.6</w:t>
            </w:r>
          </w:p>
        </w:tc>
        <w:tc>
          <w:tcPr>
            <w:tcW w:w="664" w:type="dxa"/>
            <w:vAlign w:val="center"/>
          </w:tcPr>
          <w:p w:rsidR="00560A38" w:rsidRPr="002C10B5" w:rsidRDefault="00560A38" w:rsidP="00C83DCD">
            <w:pPr>
              <w:tabs>
                <w:tab w:val="right" w:pos="567"/>
              </w:tabs>
              <w:bidi/>
              <w:jc w:val="center"/>
              <w:rPr>
                <w:rFonts w:ascii="Traditional Arabic" w:hAnsi="Traditional Arabic" w:cs="Traditional Arabic"/>
                <w:sz w:val="20"/>
                <w:szCs w:val="20"/>
                <w:rtl/>
                <w:lang w:bidi="ar-DZ"/>
              </w:rPr>
            </w:pPr>
            <w:r w:rsidRPr="002C10B5">
              <w:rPr>
                <w:rFonts w:ascii="Traditional Arabic" w:hAnsi="Traditional Arabic" w:cs="Traditional Arabic"/>
                <w:sz w:val="20"/>
                <w:szCs w:val="20"/>
                <w:rtl/>
                <w:lang w:bidi="ar-DZ"/>
              </w:rPr>
              <w:t>19.2</w:t>
            </w:r>
          </w:p>
        </w:tc>
      </w:tr>
    </w:tbl>
    <w:p w:rsidR="00560A38" w:rsidRPr="002C10B5" w:rsidRDefault="00560A38" w:rsidP="003A165A">
      <w:pPr>
        <w:tabs>
          <w:tab w:val="right" w:pos="567"/>
        </w:tabs>
        <w:bidi/>
        <w:spacing w:line="240" w:lineRule="auto"/>
        <w:rPr>
          <w:rFonts w:ascii="Traditional Arabic" w:hAnsi="Traditional Arabic" w:cs="Traditional Arabic"/>
          <w:sz w:val="28"/>
          <w:szCs w:val="28"/>
          <w:rtl/>
          <w:lang w:bidi="ar-DZ"/>
        </w:rPr>
      </w:pPr>
      <w:r w:rsidRPr="002C10B5">
        <w:rPr>
          <w:rFonts w:ascii="Traditional Arabic" w:hAnsi="Traditional Arabic" w:cs="Traditional Arabic"/>
          <w:sz w:val="28"/>
          <w:szCs w:val="28"/>
          <w:rtl/>
          <w:lang w:bidi="ar-DZ"/>
        </w:rPr>
        <w:t xml:space="preserve">المصدر: صندوق النقد الدولي: تصنيف مجموعات البلدان والمناطق، </w:t>
      </w:r>
      <w:r>
        <w:rPr>
          <w:rFonts w:ascii="Traditional Arabic" w:hAnsi="Traditional Arabic" w:cs="Traditional Arabic" w:hint="cs"/>
          <w:sz w:val="28"/>
          <w:szCs w:val="28"/>
          <w:rtl/>
          <w:lang w:bidi="ar-DZ"/>
        </w:rPr>
        <w:t>مرجع سابق</w:t>
      </w:r>
      <w:r w:rsidRPr="002C10B5">
        <w:rPr>
          <w:rFonts w:ascii="Traditional Arabic" w:hAnsi="Traditional Arabic" w:cs="Traditional Arabic"/>
          <w:sz w:val="28"/>
          <w:szCs w:val="28"/>
          <w:rtl/>
          <w:lang w:bidi="ar-DZ"/>
        </w:rPr>
        <w:t xml:space="preserve">، ص </w:t>
      </w:r>
      <w:r w:rsidRPr="00A8065A">
        <w:rPr>
          <w:rFonts w:ascii="Traditional Arabic" w:hAnsi="Traditional Arabic" w:cs="Traditional Arabic"/>
          <w:sz w:val="24"/>
          <w:szCs w:val="24"/>
          <w:rtl/>
          <w:lang w:bidi="ar-DZ"/>
        </w:rPr>
        <w:t>10</w:t>
      </w:r>
      <w:r w:rsidRPr="002C10B5">
        <w:rPr>
          <w:rFonts w:ascii="Traditional Arabic" w:hAnsi="Traditional Arabic" w:cs="Traditional Arabic"/>
          <w:sz w:val="28"/>
          <w:szCs w:val="28"/>
          <w:rtl/>
          <w:lang w:bidi="ar-DZ"/>
        </w:rPr>
        <w:t>.</w:t>
      </w:r>
    </w:p>
    <w:p w:rsidR="00560A38" w:rsidRPr="002C10B5" w:rsidRDefault="00560A38" w:rsidP="00AB5594">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  فأثناء الأزمة حدث هبوط كبير في ربحية بنوك مجلس التعاون الخليجي في عام </w:t>
      </w:r>
      <w:r w:rsidRPr="002C10B5">
        <w:rPr>
          <w:rFonts w:ascii="Traditional Arabic" w:hAnsi="Traditional Arabic" w:cs="Traditional Arabic"/>
          <w:sz w:val="24"/>
          <w:szCs w:val="24"/>
          <w:rtl/>
          <w:lang w:bidi="ar-DZ"/>
        </w:rPr>
        <w:t xml:space="preserve">2008 </w:t>
      </w:r>
      <w:r w:rsidRPr="002C10B5">
        <w:rPr>
          <w:rFonts w:ascii="Traditional Arabic" w:hAnsi="Traditional Arabic" w:cs="Traditional Arabic"/>
          <w:sz w:val="32"/>
          <w:szCs w:val="32"/>
          <w:rtl/>
          <w:lang w:bidi="ar-DZ"/>
        </w:rPr>
        <w:t xml:space="preserve">والنصف الأول من </w:t>
      </w:r>
      <w:r w:rsidRPr="002C10B5">
        <w:rPr>
          <w:rFonts w:ascii="Traditional Arabic" w:hAnsi="Traditional Arabic" w:cs="Traditional Arabic"/>
          <w:sz w:val="24"/>
          <w:szCs w:val="24"/>
          <w:rtl/>
          <w:lang w:bidi="ar-DZ"/>
        </w:rPr>
        <w:t xml:space="preserve">2009 </w:t>
      </w:r>
      <w:r w:rsidRPr="002C10B5">
        <w:rPr>
          <w:rFonts w:ascii="Traditional Arabic" w:hAnsi="Traditional Arabic" w:cs="Traditional Arabic"/>
          <w:sz w:val="32"/>
          <w:szCs w:val="32"/>
          <w:rtl/>
          <w:lang w:bidi="ar-DZ"/>
        </w:rPr>
        <w:t>(</w:t>
      </w:r>
      <w:r w:rsidR="00DC3144">
        <w:rPr>
          <w:rFonts w:ascii="Traditional Arabic" w:hAnsi="Traditional Arabic" w:cs="Traditional Arabic" w:hint="cs"/>
          <w:sz w:val="32"/>
          <w:szCs w:val="32"/>
          <w:rtl/>
          <w:lang w:bidi="ar-DZ"/>
        </w:rPr>
        <w:t xml:space="preserve">أنظر </w:t>
      </w:r>
      <w:r w:rsidRPr="002C10B5">
        <w:rPr>
          <w:rFonts w:ascii="Traditional Arabic" w:hAnsi="Traditional Arabic" w:cs="Traditional Arabic"/>
          <w:sz w:val="32"/>
          <w:szCs w:val="32"/>
          <w:rtl/>
          <w:lang w:bidi="ar-DZ"/>
        </w:rPr>
        <w:t>الجدول</w:t>
      </w:r>
      <w:r w:rsidR="00DC3144">
        <w:rPr>
          <w:rFonts w:ascii="Traditional Arabic" w:hAnsi="Traditional Arabic" w:cs="Traditional Arabic" w:hint="cs"/>
          <w:sz w:val="32"/>
          <w:szCs w:val="32"/>
          <w:rtl/>
          <w:lang w:bidi="ar-DZ"/>
        </w:rPr>
        <w:t xml:space="preserve"> رقم</w:t>
      </w:r>
      <w:r w:rsidRPr="002C10B5">
        <w:rPr>
          <w:rFonts w:ascii="Traditional Arabic" w:hAnsi="Traditional Arabic" w:cs="Traditional Arabic"/>
          <w:sz w:val="32"/>
          <w:szCs w:val="32"/>
          <w:rtl/>
          <w:lang w:bidi="ar-DZ"/>
        </w:rPr>
        <w:t xml:space="preserve"> </w:t>
      </w:r>
      <w:r w:rsidR="00AB5594">
        <w:rPr>
          <w:rFonts w:ascii="Traditional Arabic" w:hAnsi="Traditional Arabic" w:cs="Traditional Arabic"/>
          <w:sz w:val="24"/>
          <w:szCs w:val="24"/>
          <w:lang w:bidi="ar-DZ"/>
        </w:rPr>
        <w:t>18</w:t>
      </w:r>
      <w:r w:rsidRPr="002C10B5">
        <w:rPr>
          <w:rFonts w:ascii="Traditional Arabic" w:hAnsi="Traditional Arabic" w:cs="Traditional Arabic"/>
          <w:sz w:val="32"/>
          <w:szCs w:val="32"/>
          <w:rtl/>
          <w:lang w:bidi="ar-DZ"/>
        </w:rPr>
        <w:t xml:space="preserve">)، وقد كان الأثر الكلي متماثلا إلى حد كبير على البنوك الإسلامية والتقليدية، فالتأثير الأولي للأزمة العالمية كان أقل على البنوك الإسلامية وأقوى على البنوك التقليدية بسبب قيد الأوراق المالية حسب سعر السوق، وتشير البيانات إلى انخفاضات أكبر بقليل في ربحية البنوك الإسلامية مقارنة بالبنوك التقليدية، وهو ما يمكن أن يكون مرتبطا بالأثر غير المباشر للأزمة على الاقتصاد الحقيقي، لاسيما العقارات، غير أن هناك اختلاف في الأثر النسبي على البنوك الإسلامية داخل دول مجلس التعاون الخليجي، مما يعكس </w:t>
      </w:r>
      <w:r w:rsidRPr="002C10B5">
        <w:rPr>
          <w:rFonts w:ascii="Traditional Arabic" w:hAnsi="Traditional Arabic" w:cs="Traditional Arabic"/>
          <w:sz w:val="32"/>
          <w:szCs w:val="32"/>
          <w:rtl/>
          <w:lang w:bidi="ar-DZ"/>
        </w:rPr>
        <w:lastRenderedPageBreak/>
        <w:t xml:space="preserve">التفاوت في حجم الانكشاف النسبي للأصول الخطرة، وكان ضعف أداء البنوك الإسلامية بالتحديد في عام </w:t>
      </w:r>
      <w:r w:rsidRPr="002C10B5">
        <w:rPr>
          <w:rFonts w:ascii="Traditional Arabic" w:hAnsi="Traditional Arabic" w:cs="Traditional Arabic"/>
          <w:sz w:val="24"/>
          <w:szCs w:val="24"/>
          <w:rtl/>
          <w:lang w:bidi="ar-DZ"/>
        </w:rPr>
        <w:t xml:space="preserve">2009 </w:t>
      </w:r>
      <w:r w:rsidRPr="002C10B5">
        <w:rPr>
          <w:rFonts w:ascii="Traditional Arabic" w:hAnsi="Traditional Arabic" w:cs="Traditional Arabic"/>
          <w:sz w:val="32"/>
          <w:szCs w:val="32"/>
          <w:rtl/>
          <w:lang w:bidi="ar-DZ"/>
        </w:rPr>
        <w:t xml:space="preserve">مدفوعا إلى حد كبير بأداء بنوك الإمارات العربية المتحدة وقطر حيث كان حجم الانكشاف لقطاعي العقارات والتشييد أكبر بكثير.   </w:t>
      </w:r>
    </w:p>
    <w:p w:rsidR="00560A38"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  ونظرا لاحتفاظ البنوك الإسلامية باحتياطات أكبر في شكل رؤوس أموال وسيولة، فهي أقدر على تحمل صدمات الأسواق أو الائتمان، فنسبة كفاية رأس المال لديها أعلى في المتوسط من النسبة المناظرة لدى البنوك التقليدية في مجلس التعاون الخليجي (باستثناء الإمارات العربية المتحدة)، فعنصر المشاركة في المخاطر الذي تتسم به العقود المتوافقة مع الشريعة الإسلامية يشكل إضافة إلى هذه الاحتياطات، حيث إنه يتيح للبنوك نقل الخسائر إلى المستثمرين</w:t>
      </w:r>
      <w:r w:rsidRPr="002C10B5">
        <w:rPr>
          <w:rStyle w:val="Appelnotedebasdep"/>
          <w:rFonts w:ascii="Traditional Arabic" w:hAnsi="Traditional Arabic" w:cs="Traditional Arabic"/>
          <w:sz w:val="32"/>
          <w:szCs w:val="32"/>
          <w:rtl/>
          <w:lang w:bidi="ar-DZ"/>
        </w:rPr>
        <w:footnoteReference w:id="22"/>
      </w:r>
      <w:r w:rsidRPr="002C10B5">
        <w:rPr>
          <w:rFonts w:ascii="Traditional Arabic" w:hAnsi="Traditional Arabic" w:cs="Traditional Arabic"/>
          <w:sz w:val="32"/>
          <w:szCs w:val="32"/>
          <w:rtl/>
          <w:lang w:bidi="ar-DZ"/>
        </w:rPr>
        <w:t xml:space="preserve">.   </w:t>
      </w:r>
    </w:p>
    <w:p w:rsidR="00560A38" w:rsidRPr="00430C3A" w:rsidRDefault="00560A38" w:rsidP="00560A38">
      <w:pPr>
        <w:pStyle w:val="En-tte"/>
        <w:bidi/>
        <w:spacing w:line="276" w:lineRule="auto"/>
        <w:rPr>
          <w:rFonts w:ascii="Traditional Arabic" w:hAnsi="Traditional Arabic" w:cs="Traditional Arabic"/>
          <w:b/>
          <w:bCs/>
          <w:sz w:val="32"/>
          <w:szCs w:val="32"/>
          <w:rtl/>
          <w:lang w:bidi="ar-DZ"/>
        </w:rPr>
      </w:pPr>
      <w:r w:rsidRPr="00430C3A">
        <w:rPr>
          <w:rFonts w:ascii="Traditional Arabic" w:hAnsi="Traditional Arabic" w:cs="Traditional Arabic" w:hint="cs"/>
          <w:b/>
          <w:bCs/>
          <w:sz w:val="24"/>
          <w:szCs w:val="24"/>
          <w:rtl/>
          <w:lang w:bidi="ar-DZ"/>
        </w:rPr>
        <w:t>3</w:t>
      </w:r>
      <w:r w:rsidRPr="00430C3A">
        <w:rPr>
          <w:rFonts w:ascii="Traditional Arabic" w:hAnsi="Traditional Arabic" w:cs="Traditional Arabic"/>
          <w:b/>
          <w:bCs/>
          <w:sz w:val="24"/>
          <w:szCs w:val="24"/>
          <w:rtl/>
          <w:lang w:bidi="ar-DZ"/>
        </w:rPr>
        <w:t xml:space="preserve">- </w:t>
      </w:r>
      <w:r w:rsidRPr="00430C3A">
        <w:rPr>
          <w:rFonts w:ascii="Traditional Arabic" w:hAnsi="Traditional Arabic" w:cs="Traditional Arabic"/>
          <w:b/>
          <w:bCs/>
          <w:sz w:val="32"/>
          <w:szCs w:val="32"/>
          <w:rtl/>
          <w:lang w:bidi="ar-DZ"/>
        </w:rPr>
        <w:t>موقف الدول العربية من الصناديق السيادية</w:t>
      </w:r>
      <w:r w:rsidRPr="00430C3A">
        <w:rPr>
          <w:rFonts w:ascii="Traditional Arabic" w:hAnsi="Traditional Arabic" w:cs="Traditional Arabic" w:hint="cs"/>
          <w:b/>
          <w:bCs/>
          <w:sz w:val="32"/>
          <w:szCs w:val="32"/>
          <w:rtl/>
          <w:lang w:bidi="ar-DZ"/>
        </w:rPr>
        <w:t xml:space="preserve">: </w:t>
      </w:r>
    </w:p>
    <w:p w:rsidR="00560A38" w:rsidRPr="002C10B5" w:rsidRDefault="00560A38" w:rsidP="00E920E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تعرف الصناديق السيادية على أنها صناديق أو ترتيبات للاستثمار ذات غرض خاص تملكها الحكومة عامة، وتنشئ لأغراض اقتصادية كلية، وهي تحتفظ بالأصول أو تتولى توظيفها أو إدارتها لتحقيق أهداف مالية، مستخدمة في ذلك استراتيجيات استثمارية تتضمن الاستثمار في الأصول المالية الأجنبية. وتنشأ صناديق الثروة السيادية في العادة معتمدة على فوائض ميزان المدفوعات، أو عمليات النقد الأجنبي الرسمية، أو عائد الخصخصة، أو فوائض المالية العامة، أو الإيرادات المتحققة من الصادرات السلعية، أو كل هذه الموارد مجتمعة، ووصلت في منتصف سنة </w:t>
      </w:r>
      <w:r w:rsidRPr="002C10B5">
        <w:rPr>
          <w:rFonts w:ascii="Traditional Arabic" w:hAnsi="Traditional Arabic" w:cs="Traditional Arabic"/>
          <w:sz w:val="24"/>
          <w:szCs w:val="24"/>
          <w:rtl/>
          <w:lang w:bidi="ar-DZ"/>
        </w:rPr>
        <w:t xml:space="preserve">2008 </w:t>
      </w:r>
      <w:r w:rsidRPr="002C10B5">
        <w:rPr>
          <w:rFonts w:ascii="Traditional Arabic" w:hAnsi="Traditional Arabic" w:cs="Traditional Arabic"/>
          <w:sz w:val="32"/>
          <w:szCs w:val="32"/>
          <w:rtl/>
          <w:lang w:bidi="ar-DZ"/>
        </w:rPr>
        <w:t xml:space="preserve">إلى </w:t>
      </w:r>
      <w:r w:rsidRPr="002C10B5">
        <w:rPr>
          <w:rFonts w:ascii="Traditional Arabic" w:hAnsi="Traditional Arabic" w:cs="Traditional Arabic"/>
          <w:sz w:val="24"/>
          <w:szCs w:val="24"/>
          <w:rtl/>
          <w:lang w:bidi="ar-DZ"/>
        </w:rPr>
        <w:t xml:space="preserve">53 </w:t>
      </w:r>
      <w:r w:rsidRPr="002C10B5">
        <w:rPr>
          <w:rFonts w:ascii="Traditional Arabic" w:hAnsi="Traditional Arabic" w:cs="Traditional Arabic"/>
          <w:sz w:val="32"/>
          <w:szCs w:val="32"/>
          <w:rtl/>
          <w:lang w:bidi="ar-DZ"/>
        </w:rPr>
        <w:t>صندوقا</w:t>
      </w:r>
      <w:r w:rsidR="00E920EE">
        <w:rPr>
          <w:rFonts w:ascii="Traditional Arabic" w:hAnsi="Traditional Arabic" w:cs="Traditional Arabic" w:hint="cs"/>
          <w:sz w:val="32"/>
          <w:szCs w:val="32"/>
          <w:rtl/>
          <w:lang w:bidi="ar-DZ"/>
        </w:rPr>
        <w:t>، والجدول</w:t>
      </w:r>
      <w:r w:rsidRPr="002C10B5">
        <w:rPr>
          <w:rFonts w:ascii="Traditional Arabic" w:hAnsi="Traditional Arabic" w:cs="Traditional Arabic"/>
          <w:sz w:val="32"/>
          <w:szCs w:val="32"/>
          <w:rtl/>
          <w:lang w:bidi="ar-DZ"/>
        </w:rPr>
        <w:t xml:space="preserve"> رقم </w:t>
      </w:r>
      <w:r w:rsidR="00E920EE">
        <w:rPr>
          <w:rFonts w:ascii="Traditional Arabic" w:hAnsi="Traditional Arabic" w:cs="Traditional Arabic" w:hint="cs"/>
          <w:sz w:val="24"/>
          <w:szCs w:val="24"/>
          <w:rtl/>
          <w:lang w:bidi="ar-DZ"/>
        </w:rPr>
        <w:t>19</w:t>
      </w:r>
      <w:r w:rsidR="00E920EE">
        <w:rPr>
          <w:rFonts w:ascii="Traditional Arabic" w:hAnsi="Traditional Arabic" w:cs="Traditional Arabic" w:hint="cs"/>
          <w:sz w:val="32"/>
          <w:szCs w:val="32"/>
          <w:rtl/>
          <w:lang w:bidi="ar-DZ"/>
        </w:rPr>
        <w:t xml:space="preserve"> يبين</w:t>
      </w:r>
      <w:r w:rsidR="00E920EE" w:rsidRPr="00E920EE">
        <w:rPr>
          <w:rFonts w:ascii="Traditional Arabic" w:hAnsi="Traditional Arabic" w:cs="Traditional Arabic"/>
          <w:sz w:val="32"/>
          <w:szCs w:val="32"/>
          <w:rtl/>
          <w:lang w:bidi="ar-DZ"/>
        </w:rPr>
        <w:t xml:space="preserve"> </w:t>
      </w:r>
      <w:r w:rsidR="00E920EE" w:rsidRPr="00B05417">
        <w:rPr>
          <w:rFonts w:ascii="Traditional Arabic" w:hAnsi="Traditional Arabic" w:cs="Traditional Arabic"/>
          <w:sz w:val="32"/>
          <w:szCs w:val="32"/>
          <w:rtl/>
          <w:lang w:bidi="ar-DZ"/>
        </w:rPr>
        <w:t>أهم الصناديق السيادية</w:t>
      </w:r>
      <w:r w:rsidR="00E920EE" w:rsidRPr="00B05417">
        <w:rPr>
          <w:rFonts w:ascii="Traditional Arabic" w:hAnsi="Traditional Arabic" w:cs="Traditional Arabic" w:hint="cs"/>
          <w:sz w:val="32"/>
          <w:szCs w:val="32"/>
          <w:rtl/>
          <w:lang w:bidi="ar-DZ"/>
        </w:rPr>
        <w:t xml:space="preserve"> العربية</w:t>
      </w:r>
      <w:r w:rsidR="00E920EE">
        <w:rPr>
          <w:rFonts w:ascii="Traditional Arabic" w:hAnsi="Traditional Arabic" w:cs="Traditional Arabic" w:hint="cs"/>
          <w:sz w:val="32"/>
          <w:szCs w:val="32"/>
          <w:rtl/>
          <w:lang w:bidi="ar-DZ"/>
        </w:rPr>
        <w:t xml:space="preserve">.  </w:t>
      </w:r>
      <w:r w:rsidRPr="002C10B5">
        <w:rPr>
          <w:rFonts w:ascii="Traditional Arabic" w:hAnsi="Traditional Arabic" w:cs="Traditional Arabic"/>
          <w:sz w:val="32"/>
          <w:szCs w:val="32"/>
          <w:rtl/>
          <w:lang w:bidi="ar-DZ"/>
        </w:rPr>
        <w:t xml:space="preserve"> </w:t>
      </w:r>
    </w:p>
    <w:p w:rsidR="00560A38" w:rsidRPr="00B05417" w:rsidRDefault="00560A38" w:rsidP="0067613E">
      <w:pPr>
        <w:bidi/>
        <w:spacing w:after="0"/>
        <w:jc w:val="center"/>
        <w:rPr>
          <w:rFonts w:ascii="Traditional Arabic" w:hAnsi="Traditional Arabic" w:cs="Traditional Arabic"/>
          <w:sz w:val="32"/>
          <w:szCs w:val="32"/>
          <w:rtl/>
          <w:lang w:bidi="ar-DZ"/>
        </w:rPr>
      </w:pPr>
      <w:r w:rsidRPr="00B05417">
        <w:rPr>
          <w:rFonts w:ascii="Traditional Arabic" w:hAnsi="Traditional Arabic" w:cs="Traditional Arabic"/>
          <w:sz w:val="32"/>
          <w:szCs w:val="32"/>
          <w:rtl/>
          <w:lang w:bidi="ar-DZ"/>
        </w:rPr>
        <w:t xml:space="preserve">الجدول رقم </w:t>
      </w:r>
      <w:r w:rsidR="005A17AD" w:rsidRPr="005A17AD">
        <w:rPr>
          <w:rFonts w:ascii="Traditional Arabic" w:hAnsi="Traditional Arabic" w:cs="Traditional Arabic" w:hint="cs"/>
          <w:sz w:val="24"/>
          <w:szCs w:val="24"/>
          <w:rtl/>
          <w:lang w:bidi="ar-DZ"/>
        </w:rPr>
        <w:t>19</w:t>
      </w:r>
      <w:r w:rsidRPr="00B05417">
        <w:rPr>
          <w:rFonts w:ascii="Traditional Arabic" w:hAnsi="Traditional Arabic" w:cs="Traditional Arabic"/>
          <w:sz w:val="32"/>
          <w:szCs w:val="32"/>
          <w:rtl/>
          <w:lang w:bidi="ar-DZ"/>
        </w:rPr>
        <w:t>: أهم الصناديق السيادية</w:t>
      </w:r>
      <w:r w:rsidRPr="00B05417">
        <w:rPr>
          <w:rFonts w:ascii="Traditional Arabic" w:hAnsi="Traditional Arabic" w:cs="Traditional Arabic" w:hint="cs"/>
          <w:sz w:val="32"/>
          <w:szCs w:val="32"/>
          <w:rtl/>
          <w:lang w:bidi="ar-DZ"/>
        </w:rPr>
        <w:t xml:space="preserve"> العربية</w:t>
      </w:r>
      <w:r w:rsidRPr="00B05417">
        <w:rPr>
          <w:rFonts w:ascii="Traditional Arabic" w:hAnsi="Traditional Arabic" w:cs="Traditional Arabic"/>
          <w:sz w:val="32"/>
          <w:szCs w:val="32"/>
          <w:rtl/>
          <w:lang w:bidi="ar-DZ"/>
        </w:rPr>
        <w:t xml:space="preserve"> وتقدير حجم أصولها</w:t>
      </w:r>
      <w:r w:rsidR="005A17AD">
        <w:rPr>
          <w:rFonts w:ascii="Traditional Arabic" w:hAnsi="Traditional Arabic" w:cs="Traditional Arabic" w:hint="cs"/>
          <w:sz w:val="32"/>
          <w:szCs w:val="32"/>
          <w:rtl/>
          <w:lang w:bidi="ar-DZ"/>
        </w:rPr>
        <w:t xml:space="preserve"> </w:t>
      </w:r>
      <w:r w:rsidRPr="00B05417">
        <w:rPr>
          <w:rFonts w:ascii="Traditional Arabic" w:hAnsi="Traditional Arabic" w:cs="Traditional Arabic"/>
          <w:sz w:val="32"/>
          <w:szCs w:val="32"/>
          <w:rtl/>
          <w:lang w:bidi="ar-DZ"/>
        </w:rPr>
        <w:t>(</w:t>
      </w:r>
      <w:r w:rsidRPr="00B05417">
        <w:rPr>
          <w:rFonts w:ascii="Traditional Arabic" w:hAnsi="Traditional Arabic" w:cs="Traditional Arabic"/>
          <w:sz w:val="24"/>
          <w:szCs w:val="24"/>
          <w:rtl/>
          <w:lang w:bidi="ar-DZ"/>
        </w:rPr>
        <w:t>2008</w:t>
      </w:r>
      <w:r w:rsidR="00980CC5">
        <w:rPr>
          <w:rFonts w:ascii="Traditional Arabic" w:hAnsi="Traditional Arabic" w:cs="Traditional Arabic"/>
          <w:sz w:val="32"/>
          <w:szCs w:val="32"/>
          <w:rtl/>
          <w:lang w:bidi="ar-DZ"/>
        </w:rPr>
        <w:t>)</w:t>
      </w:r>
    </w:p>
    <w:tbl>
      <w:tblPr>
        <w:tblStyle w:val="Grilledutableau"/>
        <w:bidiVisual/>
        <w:tblW w:w="0" w:type="auto"/>
        <w:tblInd w:w="-176" w:type="dxa"/>
        <w:tblLook w:val="04A0"/>
      </w:tblPr>
      <w:tblGrid>
        <w:gridCol w:w="1600"/>
        <w:gridCol w:w="2009"/>
        <w:gridCol w:w="2909"/>
        <w:gridCol w:w="1624"/>
        <w:gridCol w:w="1320"/>
      </w:tblGrid>
      <w:tr w:rsidR="00560A38" w:rsidRPr="002C10B5" w:rsidTr="00C83DCD">
        <w:tc>
          <w:tcPr>
            <w:tcW w:w="1601" w:type="dxa"/>
          </w:tcPr>
          <w:p w:rsidR="00560A38" w:rsidRPr="00980CC5" w:rsidRDefault="00560A38" w:rsidP="00C83DCD">
            <w:pPr>
              <w:tabs>
                <w:tab w:val="right" w:pos="1910"/>
              </w:tabs>
              <w:bidi/>
              <w:rPr>
                <w:rFonts w:ascii="Traditional Arabic" w:hAnsi="Traditional Arabic" w:cs="Traditional Arabic"/>
                <w:b/>
                <w:bCs/>
                <w:sz w:val="28"/>
                <w:szCs w:val="28"/>
                <w:rtl/>
                <w:lang w:bidi="ar-DZ"/>
              </w:rPr>
            </w:pPr>
            <w:r w:rsidRPr="00980CC5">
              <w:rPr>
                <w:rFonts w:ascii="Traditional Arabic" w:hAnsi="Traditional Arabic" w:cs="Traditional Arabic" w:hint="cs"/>
                <w:b/>
                <w:bCs/>
                <w:sz w:val="28"/>
                <w:szCs w:val="28"/>
                <w:rtl/>
                <w:lang w:bidi="ar-DZ"/>
              </w:rPr>
              <w:t>تاريخ الإنشاء</w:t>
            </w:r>
          </w:p>
        </w:tc>
        <w:tc>
          <w:tcPr>
            <w:tcW w:w="2009" w:type="dxa"/>
          </w:tcPr>
          <w:p w:rsidR="00560A38" w:rsidRPr="00980CC5" w:rsidRDefault="00560A38" w:rsidP="00C83DCD">
            <w:pPr>
              <w:tabs>
                <w:tab w:val="right" w:pos="1910"/>
              </w:tabs>
              <w:bidi/>
              <w:rPr>
                <w:rFonts w:ascii="Traditional Arabic" w:hAnsi="Traditional Arabic" w:cs="Traditional Arabic"/>
                <w:b/>
                <w:bCs/>
                <w:sz w:val="28"/>
                <w:szCs w:val="28"/>
                <w:rtl/>
                <w:lang w:bidi="ar-DZ"/>
              </w:rPr>
            </w:pPr>
            <w:r w:rsidRPr="00980CC5">
              <w:rPr>
                <w:rFonts w:ascii="Traditional Arabic" w:hAnsi="Traditional Arabic" w:cs="Traditional Arabic"/>
                <w:b/>
                <w:bCs/>
                <w:sz w:val="28"/>
                <w:szCs w:val="28"/>
                <w:rtl/>
                <w:lang w:bidi="ar-DZ"/>
              </w:rPr>
              <w:t>الدولة</w:t>
            </w:r>
            <w:r w:rsidRPr="00980CC5">
              <w:rPr>
                <w:rFonts w:ascii="Traditional Arabic" w:hAnsi="Traditional Arabic" w:cs="Traditional Arabic"/>
                <w:b/>
                <w:bCs/>
                <w:sz w:val="28"/>
                <w:szCs w:val="28"/>
                <w:rtl/>
                <w:lang w:bidi="ar-DZ"/>
              </w:rPr>
              <w:tab/>
            </w:r>
          </w:p>
        </w:tc>
        <w:tc>
          <w:tcPr>
            <w:tcW w:w="2910" w:type="dxa"/>
          </w:tcPr>
          <w:p w:rsidR="00560A38" w:rsidRPr="00980CC5" w:rsidRDefault="00560A38" w:rsidP="00C83DCD">
            <w:pPr>
              <w:bidi/>
              <w:rPr>
                <w:rFonts w:ascii="Traditional Arabic" w:hAnsi="Traditional Arabic" w:cs="Traditional Arabic"/>
                <w:b/>
                <w:bCs/>
                <w:sz w:val="28"/>
                <w:szCs w:val="28"/>
                <w:rtl/>
                <w:lang w:bidi="ar-DZ"/>
              </w:rPr>
            </w:pPr>
            <w:r w:rsidRPr="00980CC5">
              <w:rPr>
                <w:rFonts w:ascii="Traditional Arabic" w:hAnsi="Traditional Arabic" w:cs="Traditional Arabic"/>
                <w:b/>
                <w:bCs/>
                <w:sz w:val="28"/>
                <w:szCs w:val="28"/>
                <w:rtl/>
                <w:lang w:bidi="ar-DZ"/>
              </w:rPr>
              <w:t>اسم الصندوق</w:t>
            </w:r>
          </w:p>
        </w:tc>
        <w:tc>
          <w:tcPr>
            <w:tcW w:w="1624" w:type="dxa"/>
          </w:tcPr>
          <w:p w:rsidR="00560A38" w:rsidRPr="002C10B5" w:rsidRDefault="00560A38" w:rsidP="00C83DCD">
            <w:pPr>
              <w:bidi/>
              <w:rPr>
                <w:rFonts w:ascii="Traditional Arabic" w:hAnsi="Traditional Arabic" w:cs="Traditional Arabic"/>
                <w:b/>
                <w:bCs/>
                <w:sz w:val="28"/>
                <w:szCs w:val="28"/>
                <w:rtl/>
                <w:lang w:bidi="ar-DZ"/>
              </w:rPr>
            </w:pPr>
            <w:r w:rsidRPr="00980CC5">
              <w:rPr>
                <w:rFonts w:ascii="Traditional Arabic" w:hAnsi="Traditional Arabic" w:cs="Traditional Arabic"/>
                <w:b/>
                <w:bCs/>
                <w:sz w:val="28"/>
                <w:szCs w:val="28"/>
                <w:rtl/>
                <w:lang w:bidi="ar-DZ"/>
              </w:rPr>
              <w:t xml:space="preserve">المقدار </w:t>
            </w:r>
            <w:r w:rsidRPr="00980CC5">
              <w:rPr>
                <w:rFonts w:ascii="Traditional Arabic" w:hAnsi="Traditional Arabic" w:cs="Traditional Arabic"/>
                <w:b/>
                <w:bCs/>
                <w:rtl/>
                <w:lang w:bidi="ar-DZ"/>
              </w:rPr>
              <w:t>(</w:t>
            </w:r>
            <w:r w:rsidRPr="00980CC5">
              <w:rPr>
                <w:rFonts w:ascii="Traditional Arabic" w:hAnsi="Traditional Arabic" w:cs="Traditional Arabic"/>
                <w:b/>
                <w:bCs/>
                <w:sz w:val="24"/>
                <w:szCs w:val="24"/>
                <w:rtl/>
                <w:lang w:bidi="ar-DZ"/>
              </w:rPr>
              <w:t>مليار دولار</w:t>
            </w:r>
            <w:r w:rsidRPr="00980CC5">
              <w:rPr>
                <w:rFonts w:ascii="Traditional Arabic" w:hAnsi="Traditional Arabic" w:cs="Traditional Arabic"/>
                <w:b/>
                <w:bCs/>
                <w:rtl/>
                <w:lang w:bidi="ar-DZ"/>
              </w:rPr>
              <w:t>)</w:t>
            </w:r>
          </w:p>
        </w:tc>
        <w:tc>
          <w:tcPr>
            <w:tcW w:w="1320" w:type="dxa"/>
          </w:tcPr>
          <w:p w:rsidR="00560A38" w:rsidRPr="00980CC5" w:rsidRDefault="00560A38" w:rsidP="00C83DCD">
            <w:pPr>
              <w:bidi/>
              <w:rPr>
                <w:rFonts w:ascii="Traditional Arabic" w:hAnsi="Traditional Arabic" w:cs="Traditional Arabic"/>
                <w:b/>
                <w:bCs/>
                <w:sz w:val="28"/>
                <w:szCs w:val="28"/>
                <w:rtl/>
                <w:lang w:bidi="ar-DZ"/>
              </w:rPr>
            </w:pPr>
            <w:r w:rsidRPr="00980CC5">
              <w:rPr>
                <w:rFonts w:ascii="Traditional Arabic" w:hAnsi="Traditional Arabic" w:cs="Traditional Arabic"/>
                <w:b/>
                <w:bCs/>
                <w:sz w:val="28"/>
                <w:szCs w:val="28"/>
                <w:rtl/>
                <w:lang w:bidi="ar-DZ"/>
              </w:rPr>
              <w:t>مصدر العوائد</w:t>
            </w:r>
          </w:p>
        </w:tc>
      </w:tr>
      <w:tr w:rsidR="00560A38" w:rsidRPr="002C10B5" w:rsidTr="00C83DCD">
        <w:tc>
          <w:tcPr>
            <w:tcW w:w="1601" w:type="dxa"/>
          </w:tcPr>
          <w:p w:rsidR="00560A38" w:rsidRPr="008537A9" w:rsidRDefault="00560A38" w:rsidP="003B5BE4">
            <w:pPr>
              <w:bidi/>
              <w:jc w:val="center"/>
              <w:rPr>
                <w:rFonts w:ascii="Traditional Arabic" w:hAnsi="Traditional Arabic" w:cs="Traditional Arabic"/>
                <w:sz w:val="26"/>
                <w:szCs w:val="26"/>
                <w:rtl/>
                <w:lang w:bidi="ar-DZ"/>
              </w:rPr>
            </w:pPr>
            <w:r w:rsidRPr="007B16C2">
              <w:rPr>
                <w:rFonts w:ascii="Traditional Arabic" w:hAnsi="Traditional Arabic" w:cs="Traditional Arabic" w:hint="cs"/>
                <w:sz w:val="24"/>
                <w:szCs w:val="24"/>
                <w:rtl/>
                <w:lang w:bidi="ar-DZ"/>
              </w:rPr>
              <w:t>1976</w:t>
            </w:r>
          </w:p>
        </w:tc>
        <w:tc>
          <w:tcPr>
            <w:tcW w:w="2009"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الإمارات العربية المتحدة</w:t>
            </w:r>
          </w:p>
        </w:tc>
        <w:tc>
          <w:tcPr>
            <w:tcW w:w="2910"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هيئة الاستثمار أبوظبي</w:t>
            </w:r>
          </w:p>
        </w:tc>
        <w:tc>
          <w:tcPr>
            <w:tcW w:w="1624" w:type="dxa"/>
          </w:tcPr>
          <w:p w:rsidR="00560A38" w:rsidRPr="002C10B5" w:rsidRDefault="00560A38" w:rsidP="00C83DCD">
            <w:pPr>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875</w:t>
            </w:r>
          </w:p>
        </w:tc>
        <w:tc>
          <w:tcPr>
            <w:tcW w:w="1320" w:type="dxa"/>
          </w:tcPr>
          <w:p w:rsidR="00560A38" w:rsidRPr="00980CC5" w:rsidRDefault="00560A38" w:rsidP="00191FC3">
            <w:pPr>
              <w:bidi/>
              <w:jc w:val="center"/>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نفط</w:t>
            </w:r>
          </w:p>
        </w:tc>
      </w:tr>
      <w:tr w:rsidR="00560A38" w:rsidRPr="002C10B5" w:rsidTr="00C83DCD">
        <w:tc>
          <w:tcPr>
            <w:tcW w:w="1601" w:type="dxa"/>
          </w:tcPr>
          <w:p w:rsidR="00560A38" w:rsidRPr="008537A9" w:rsidRDefault="00560A38" w:rsidP="003B5BE4">
            <w:pPr>
              <w:bidi/>
              <w:jc w:val="center"/>
              <w:rPr>
                <w:rFonts w:ascii="Traditional Arabic" w:hAnsi="Traditional Arabic" w:cs="Traditional Arabic"/>
                <w:sz w:val="26"/>
                <w:szCs w:val="26"/>
                <w:rtl/>
                <w:lang w:bidi="ar-DZ"/>
              </w:rPr>
            </w:pPr>
            <w:r w:rsidRPr="00980CC5">
              <w:rPr>
                <w:rFonts w:ascii="Traditional Arabic" w:hAnsi="Traditional Arabic" w:cs="Traditional Arabic" w:hint="cs"/>
                <w:sz w:val="28"/>
                <w:szCs w:val="28"/>
                <w:rtl/>
                <w:lang w:bidi="ar-DZ"/>
              </w:rPr>
              <w:t>غير محدد</w:t>
            </w:r>
          </w:p>
        </w:tc>
        <w:tc>
          <w:tcPr>
            <w:tcW w:w="2009"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العربية السعودية</w:t>
            </w:r>
          </w:p>
        </w:tc>
        <w:tc>
          <w:tcPr>
            <w:tcW w:w="2910"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شركات قابضة عمومية</w:t>
            </w:r>
          </w:p>
        </w:tc>
        <w:tc>
          <w:tcPr>
            <w:tcW w:w="1624" w:type="dxa"/>
          </w:tcPr>
          <w:p w:rsidR="00560A38" w:rsidRPr="002C10B5" w:rsidRDefault="00560A38" w:rsidP="00C83DCD">
            <w:pPr>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300</w:t>
            </w:r>
          </w:p>
        </w:tc>
        <w:tc>
          <w:tcPr>
            <w:tcW w:w="1320" w:type="dxa"/>
          </w:tcPr>
          <w:p w:rsidR="00560A38" w:rsidRPr="00980CC5" w:rsidRDefault="00560A38" w:rsidP="00191FC3">
            <w:pPr>
              <w:bidi/>
              <w:jc w:val="center"/>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نفط</w:t>
            </w:r>
          </w:p>
        </w:tc>
      </w:tr>
      <w:tr w:rsidR="00560A38" w:rsidRPr="002C10B5" w:rsidTr="00C83DCD">
        <w:tc>
          <w:tcPr>
            <w:tcW w:w="1601" w:type="dxa"/>
          </w:tcPr>
          <w:p w:rsidR="00560A38" w:rsidRPr="00980CC5" w:rsidRDefault="00560A38" w:rsidP="003B5BE4">
            <w:pPr>
              <w:bidi/>
              <w:jc w:val="center"/>
              <w:rPr>
                <w:rFonts w:ascii="Traditional Arabic" w:hAnsi="Traditional Arabic" w:cs="Traditional Arabic"/>
                <w:sz w:val="24"/>
                <w:szCs w:val="24"/>
                <w:rtl/>
                <w:lang w:bidi="ar-DZ"/>
              </w:rPr>
            </w:pPr>
            <w:r w:rsidRPr="00980CC5">
              <w:rPr>
                <w:rFonts w:ascii="Traditional Arabic" w:hAnsi="Traditional Arabic" w:cs="Traditional Arabic" w:hint="cs"/>
                <w:sz w:val="24"/>
                <w:szCs w:val="24"/>
                <w:rtl/>
                <w:lang w:bidi="ar-DZ"/>
              </w:rPr>
              <w:t>1953</w:t>
            </w:r>
          </w:p>
        </w:tc>
        <w:tc>
          <w:tcPr>
            <w:tcW w:w="2009"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الكويت</w:t>
            </w:r>
          </w:p>
        </w:tc>
        <w:tc>
          <w:tcPr>
            <w:tcW w:w="2910"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هيئة الاستثمار الكويتية</w:t>
            </w:r>
          </w:p>
        </w:tc>
        <w:tc>
          <w:tcPr>
            <w:tcW w:w="1624" w:type="dxa"/>
          </w:tcPr>
          <w:p w:rsidR="00560A38" w:rsidRPr="002C10B5" w:rsidRDefault="00560A38" w:rsidP="00C83DCD">
            <w:pPr>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213</w:t>
            </w:r>
          </w:p>
        </w:tc>
        <w:tc>
          <w:tcPr>
            <w:tcW w:w="1320" w:type="dxa"/>
          </w:tcPr>
          <w:p w:rsidR="00560A38" w:rsidRPr="00980CC5" w:rsidRDefault="00560A38" w:rsidP="00191FC3">
            <w:pPr>
              <w:bidi/>
              <w:jc w:val="center"/>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نفط</w:t>
            </w:r>
          </w:p>
        </w:tc>
      </w:tr>
      <w:tr w:rsidR="00560A38" w:rsidRPr="002C10B5" w:rsidTr="00C83DCD">
        <w:tc>
          <w:tcPr>
            <w:tcW w:w="1601" w:type="dxa"/>
          </w:tcPr>
          <w:p w:rsidR="00560A38" w:rsidRPr="00980CC5" w:rsidRDefault="00560A38" w:rsidP="003B5BE4">
            <w:pPr>
              <w:bidi/>
              <w:jc w:val="center"/>
              <w:rPr>
                <w:rFonts w:ascii="Traditional Arabic" w:hAnsi="Traditional Arabic" w:cs="Traditional Arabic"/>
                <w:sz w:val="24"/>
                <w:szCs w:val="24"/>
                <w:rtl/>
                <w:lang w:bidi="ar-DZ"/>
              </w:rPr>
            </w:pPr>
            <w:r w:rsidRPr="00980CC5">
              <w:rPr>
                <w:rFonts w:ascii="Traditional Arabic" w:hAnsi="Traditional Arabic" w:cs="Traditional Arabic" w:hint="cs"/>
                <w:sz w:val="24"/>
                <w:szCs w:val="24"/>
                <w:rtl/>
                <w:lang w:bidi="ar-DZ"/>
              </w:rPr>
              <w:t>2005</w:t>
            </w:r>
          </w:p>
        </w:tc>
        <w:tc>
          <w:tcPr>
            <w:tcW w:w="2009"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ليبيا</w:t>
            </w:r>
          </w:p>
        </w:tc>
        <w:tc>
          <w:tcPr>
            <w:tcW w:w="2910"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صندوق الاحتياط</w:t>
            </w:r>
          </w:p>
        </w:tc>
        <w:tc>
          <w:tcPr>
            <w:tcW w:w="1624" w:type="dxa"/>
          </w:tcPr>
          <w:p w:rsidR="00560A38" w:rsidRPr="002C10B5" w:rsidRDefault="00560A38" w:rsidP="00C83DCD">
            <w:pPr>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50</w:t>
            </w:r>
          </w:p>
        </w:tc>
        <w:tc>
          <w:tcPr>
            <w:tcW w:w="1320" w:type="dxa"/>
          </w:tcPr>
          <w:p w:rsidR="00560A38" w:rsidRPr="00980CC5" w:rsidRDefault="00560A38" w:rsidP="00191FC3">
            <w:pPr>
              <w:bidi/>
              <w:jc w:val="center"/>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نفط</w:t>
            </w:r>
          </w:p>
        </w:tc>
      </w:tr>
      <w:tr w:rsidR="00560A38" w:rsidRPr="002C10B5" w:rsidTr="00C83DCD">
        <w:tc>
          <w:tcPr>
            <w:tcW w:w="1601" w:type="dxa"/>
          </w:tcPr>
          <w:p w:rsidR="00560A38" w:rsidRPr="00980CC5" w:rsidRDefault="00560A38" w:rsidP="003B5BE4">
            <w:pPr>
              <w:bidi/>
              <w:jc w:val="center"/>
              <w:rPr>
                <w:rFonts w:ascii="Traditional Arabic" w:hAnsi="Traditional Arabic" w:cs="Traditional Arabic"/>
                <w:sz w:val="24"/>
                <w:szCs w:val="24"/>
                <w:rtl/>
                <w:lang w:bidi="ar-DZ"/>
              </w:rPr>
            </w:pPr>
            <w:r w:rsidRPr="00980CC5">
              <w:rPr>
                <w:rFonts w:ascii="Traditional Arabic" w:hAnsi="Traditional Arabic" w:cs="Traditional Arabic" w:hint="cs"/>
                <w:sz w:val="24"/>
                <w:szCs w:val="24"/>
                <w:rtl/>
                <w:lang w:bidi="ar-DZ"/>
              </w:rPr>
              <w:t>2000</w:t>
            </w:r>
          </w:p>
        </w:tc>
        <w:tc>
          <w:tcPr>
            <w:tcW w:w="2009"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قطر</w:t>
            </w:r>
          </w:p>
        </w:tc>
        <w:tc>
          <w:tcPr>
            <w:tcW w:w="2910"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صندوق الاستقرار</w:t>
            </w:r>
          </w:p>
        </w:tc>
        <w:tc>
          <w:tcPr>
            <w:tcW w:w="1624" w:type="dxa"/>
          </w:tcPr>
          <w:p w:rsidR="00560A38" w:rsidRPr="002C10B5" w:rsidRDefault="00560A38" w:rsidP="00C83DCD">
            <w:pPr>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50</w:t>
            </w:r>
          </w:p>
        </w:tc>
        <w:tc>
          <w:tcPr>
            <w:tcW w:w="1320" w:type="dxa"/>
          </w:tcPr>
          <w:p w:rsidR="00560A38" w:rsidRPr="00980CC5" w:rsidRDefault="00560A38" w:rsidP="00191FC3">
            <w:pPr>
              <w:bidi/>
              <w:jc w:val="center"/>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نفط</w:t>
            </w:r>
          </w:p>
        </w:tc>
      </w:tr>
      <w:tr w:rsidR="00560A38" w:rsidRPr="002C10B5" w:rsidTr="00C83DCD">
        <w:tc>
          <w:tcPr>
            <w:tcW w:w="1601" w:type="dxa"/>
          </w:tcPr>
          <w:p w:rsidR="00560A38" w:rsidRPr="00980CC5" w:rsidRDefault="00560A38" w:rsidP="003B5BE4">
            <w:pPr>
              <w:bidi/>
              <w:jc w:val="center"/>
              <w:rPr>
                <w:rFonts w:ascii="Traditional Arabic" w:hAnsi="Traditional Arabic" w:cs="Traditional Arabic"/>
                <w:sz w:val="24"/>
                <w:szCs w:val="24"/>
                <w:rtl/>
                <w:lang w:bidi="ar-DZ"/>
              </w:rPr>
            </w:pPr>
            <w:r w:rsidRPr="00980CC5">
              <w:rPr>
                <w:rFonts w:ascii="Traditional Arabic" w:hAnsi="Traditional Arabic" w:cs="Traditional Arabic" w:hint="cs"/>
                <w:sz w:val="24"/>
                <w:szCs w:val="24"/>
                <w:rtl/>
                <w:lang w:bidi="ar-DZ"/>
              </w:rPr>
              <w:t>2000</w:t>
            </w:r>
          </w:p>
        </w:tc>
        <w:tc>
          <w:tcPr>
            <w:tcW w:w="2009"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الجزائر</w:t>
            </w:r>
          </w:p>
        </w:tc>
        <w:tc>
          <w:tcPr>
            <w:tcW w:w="2910" w:type="dxa"/>
          </w:tcPr>
          <w:p w:rsidR="00560A38" w:rsidRPr="00980CC5" w:rsidRDefault="00560A38" w:rsidP="00C83DCD">
            <w:pPr>
              <w:bidi/>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صندوق ضبط الموارد</w:t>
            </w:r>
          </w:p>
        </w:tc>
        <w:tc>
          <w:tcPr>
            <w:tcW w:w="1624" w:type="dxa"/>
          </w:tcPr>
          <w:p w:rsidR="00560A38" w:rsidRPr="002C10B5" w:rsidRDefault="00560A38" w:rsidP="00C83DCD">
            <w:pPr>
              <w:bidi/>
              <w:jc w:val="center"/>
              <w:rPr>
                <w:rFonts w:ascii="Traditional Arabic" w:hAnsi="Traditional Arabic" w:cs="Traditional Arabic"/>
                <w:sz w:val="24"/>
                <w:szCs w:val="24"/>
                <w:rtl/>
                <w:lang w:bidi="ar-DZ"/>
              </w:rPr>
            </w:pPr>
            <w:r w:rsidRPr="002C10B5">
              <w:rPr>
                <w:rFonts w:ascii="Traditional Arabic" w:hAnsi="Traditional Arabic" w:cs="Traditional Arabic"/>
                <w:sz w:val="24"/>
                <w:szCs w:val="24"/>
                <w:rtl/>
                <w:lang w:bidi="ar-DZ"/>
              </w:rPr>
              <w:t>43</w:t>
            </w:r>
          </w:p>
        </w:tc>
        <w:tc>
          <w:tcPr>
            <w:tcW w:w="1320" w:type="dxa"/>
          </w:tcPr>
          <w:p w:rsidR="00560A38" w:rsidRPr="00980CC5" w:rsidRDefault="00560A38" w:rsidP="00191FC3">
            <w:pPr>
              <w:bidi/>
              <w:jc w:val="center"/>
              <w:rPr>
                <w:rFonts w:ascii="Traditional Arabic" w:hAnsi="Traditional Arabic" w:cs="Traditional Arabic"/>
                <w:sz w:val="28"/>
                <w:szCs w:val="28"/>
                <w:rtl/>
                <w:lang w:bidi="ar-DZ"/>
              </w:rPr>
            </w:pPr>
            <w:r w:rsidRPr="00980CC5">
              <w:rPr>
                <w:rFonts w:ascii="Traditional Arabic" w:hAnsi="Traditional Arabic" w:cs="Traditional Arabic"/>
                <w:sz w:val="28"/>
                <w:szCs w:val="28"/>
                <w:rtl/>
                <w:lang w:bidi="ar-DZ"/>
              </w:rPr>
              <w:t>نفط</w:t>
            </w:r>
          </w:p>
        </w:tc>
      </w:tr>
    </w:tbl>
    <w:p w:rsidR="00560A38" w:rsidRPr="00662E8A" w:rsidRDefault="00560A38" w:rsidP="00124FB3">
      <w:pPr>
        <w:spacing w:after="0" w:line="240" w:lineRule="auto"/>
        <w:jc w:val="both"/>
        <w:rPr>
          <w:rFonts w:asciiTheme="majorBidi" w:hAnsiTheme="majorBidi" w:cstheme="majorBidi"/>
          <w:sz w:val="20"/>
          <w:szCs w:val="20"/>
          <w:lang w:bidi="ar-DZ"/>
        </w:rPr>
      </w:pPr>
      <w:r w:rsidRPr="00662E8A">
        <w:rPr>
          <w:rFonts w:asciiTheme="majorBidi" w:hAnsiTheme="majorBidi" w:cstheme="majorBidi"/>
          <w:sz w:val="20"/>
          <w:szCs w:val="20"/>
          <w:lang w:bidi="ar-DZ"/>
        </w:rPr>
        <w:t xml:space="preserve">Source: Benoit </w:t>
      </w:r>
      <w:r w:rsidR="00124FB3">
        <w:rPr>
          <w:rFonts w:asciiTheme="majorBidi" w:hAnsiTheme="majorBidi" w:cstheme="majorBidi"/>
          <w:sz w:val="20"/>
          <w:szCs w:val="20"/>
          <w:lang w:bidi="ar-DZ"/>
        </w:rPr>
        <w:t>Ccoeure</w:t>
      </w:r>
      <w:r w:rsidRPr="00662E8A">
        <w:rPr>
          <w:rFonts w:asciiTheme="majorBidi" w:hAnsiTheme="majorBidi" w:cstheme="majorBidi"/>
          <w:sz w:val="20"/>
          <w:szCs w:val="20"/>
          <w:lang w:bidi="ar-DZ"/>
        </w:rPr>
        <w:t xml:space="preserve">: vivre avec les fonds souverains, </w:t>
      </w:r>
      <w:r w:rsidR="00097362">
        <w:rPr>
          <w:rFonts w:asciiTheme="majorBidi" w:hAnsiTheme="majorBidi" w:cstheme="majorBidi"/>
          <w:sz w:val="20"/>
          <w:szCs w:val="20"/>
          <w:lang w:bidi="ar-DZ"/>
        </w:rPr>
        <w:t>R</w:t>
      </w:r>
      <w:r w:rsidRPr="00662E8A">
        <w:rPr>
          <w:rFonts w:asciiTheme="majorBidi" w:hAnsiTheme="majorBidi" w:cstheme="majorBidi"/>
          <w:sz w:val="20"/>
          <w:szCs w:val="20"/>
          <w:lang w:bidi="ar-DZ"/>
        </w:rPr>
        <w:t>evue d’</w:t>
      </w:r>
      <w:r w:rsidR="00097362">
        <w:rPr>
          <w:rFonts w:asciiTheme="majorBidi" w:hAnsiTheme="majorBidi" w:cstheme="majorBidi"/>
          <w:sz w:val="20"/>
          <w:szCs w:val="20"/>
          <w:lang w:bidi="ar-DZ"/>
        </w:rPr>
        <w:t>E</w:t>
      </w:r>
      <w:r w:rsidRPr="00662E8A">
        <w:rPr>
          <w:rFonts w:asciiTheme="majorBidi" w:hAnsiTheme="majorBidi" w:cstheme="majorBidi"/>
          <w:sz w:val="20"/>
          <w:szCs w:val="20"/>
          <w:lang w:bidi="ar-DZ"/>
        </w:rPr>
        <w:t xml:space="preserve">conomie </w:t>
      </w:r>
      <w:r w:rsidR="00097362">
        <w:rPr>
          <w:rFonts w:asciiTheme="majorBidi" w:hAnsiTheme="majorBidi" w:cstheme="majorBidi"/>
          <w:sz w:val="20"/>
          <w:szCs w:val="20"/>
          <w:lang w:bidi="ar-DZ"/>
        </w:rPr>
        <w:t>F</w:t>
      </w:r>
      <w:r w:rsidRPr="00662E8A">
        <w:rPr>
          <w:rFonts w:asciiTheme="majorBidi" w:hAnsiTheme="majorBidi" w:cstheme="majorBidi"/>
          <w:sz w:val="20"/>
          <w:szCs w:val="20"/>
          <w:lang w:bidi="ar-DZ"/>
        </w:rPr>
        <w:t>inancière, hors-série, 2008, p157.</w:t>
      </w:r>
      <w:r w:rsidR="00097362">
        <w:rPr>
          <w:rFonts w:asciiTheme="majorBidi" w:hAnsiTheme="majorBidi" w:cstheme="majorBidi"/>
          <w:sz w:val="20"/>
          <w:szCs w:val="20"/>
          <w:lang w:bidi="ar-DZ"/>
        </w:rPr>
        <w:t xml:space="preserve"> </w:t>
      </w:r>
    </w:p>
    <w:p w:rsidR="00560A38" w:rsidRPr="00662E8A" w:rsidRDefault="0041629E" w:rsidP="00097362">
      <w:pPr>
        <w:spacing w:after="0" w:line="240" w:lineRule="auto"/>
        <w:rPr>
          <w:rFonts w:asciiTheme="majorBidi" w:hAnsiTheme="majorBidi" w:cstheme="majorBidi"/>
          <w:rtl/>
          <w:lang w:bidi="ar-DZ"/>
        </w:rPr>
      </w:pPr>
      <w:r>
        <w:rPr>
          <w:rFonts w:asciiTheme="majorBidi" w:hAnsiTheme="majorBidi" w:cstheme="majorBidi" w:hint="cs"/>
          <w:sz w:val="20"/>
          <w:szCs w:val="20"/>
          <w:rtl/>
          <w:lang w:bidi="ar-DZ"/>
        </w:rPr>
        <w:t xml:space="preserve">             </w:t>
      </w:r>
      <w:r w:rsidR="00560A38" w:rsidRPr="00662E8A">
        <w:rPr>
          <w:rFonts w:asciiTheme="majorBidi" w:hAnsiTheme="majorBidi" w:cstheme="majorBidi"/>
          <w:sz w:val="20"/>
          <w:szCs w:val="20"/>
          <w:lang w:bidi="ar-DZ"/>
        </w:rPr>
        <w:t>Michel Aglietta, Sandra Rigot: crise et rénovation de la fin</w:t>
      </w:r>
      <w:r w:rsidR="000B4A60" w:rsidRPr="00662E8A">
        <w:rPr>
          <w:rFonts w:asciiTheme="majorBidi" w:hAnsiTheme="majorBidi" w:cstheme="majorBidi"/>
          <w:sz w:val="20"/>
          <w:szCs w:val="20"/>
          <w:lang w:bidi="ar-DZ"/>
        </w:rPr>
        <w:t xml:space="preserve">ance, </w:t>
      </w:r>
      <w:r w:rsidR="00097362">
        <w:rPr>
          <w:rFonts w:asciiTheme="majorBidi" w:hAnsiTheme="majorBidi" w:cstheme="majorBidi"/>
          <w:sz w:val="20"/>
          <w:szCs w:val="20"/>
          <w:lang w:bidi="ar-DZ"/>
        </w:rPr>
        <w:t>O</w:t>
      </w:r>
      <w:r w:rsidR="000B4A60" w:rsidRPr="00662E8A">
        <w:rPr>
          <w:rFonts w:asciiTheme="majorBidi" w:hAnsiTheme="majorBidi" w:cstheme="majorBidi"/>
          <w:sz w:val="20"/>
          <w:szCs w:val="20"/>
          <w:lang w:bidi="ar-DZ"/>
        </w:rPr>
        <w:t xml:space="preserve">dile </w:t>
      </w:r>
      <w:r w:rsidR="00097362">
        <w:rPr>
          <w:rFonts w:asciiTheme="majorBidi" w:hAnsiTheme="majorBidi" w:cstheme="majorBidi"/>
          <w:sz w:val="20"/>
          <w:szCs w:val="20"/>
          <w:lang w:bidi="ar-DZ"/>
        </w:rPr>
        <w:t>J</w:t>
      </w:r>
      <w:r w:rsidR="000B4A60" w:rsidRPr="00662E8A">
        <w:rPr>
          <w:rFonts w:asciiTheme="majorBidi" w:hAnsiTheme="majorBidi" w:cstheme="majorBidi"/>
          <w:sz w:val="20"/>
          <w:szCs w:val="20"/>
          <w:lang w:bidi="ar-DZ"/>
        </w:rPr>
        <w:t>acobe, Paris, 2009</w:t>
      </w:r>
      <w:r w:rsidR="00707269" w:rsidRPr="00662E8A">
        <w:rPr>
          <w:rFonts w:asciiTheme="majorBidi" w:hAnsiTheme="majorBidi" w:cstheme="majorBidi"/>
          <w:sz w:val="20"/>
          <w:szCs w:val="20"/>
          <w:lang w:bidi="ar-DZ"/>
        </w:rPr>
        <w:t>, p</w:t>
      </w:r>
      <w:r w:rsidR="001A0D67" w:rsidRPr="00662E8A">
        <w:rPr>
          <w:rFonts w:asciiTheme="majorBidi" w:hAnsiTheme="majorBidi" w:cstheme="majorBidi"/>
          <w:sz w:val="20"/>
          <w:szCs w:val="20"/>
          <w:lang w:bidi="ar-DZ"/>
        </w:rPr>
        <w:t>185.</w:t>
      </w:r>
      <w:r w:rsidR="00560A38" w:rsidRPr="00662E8A">
        <w:rPr>
          <w:rFonts w:asciiTheme="majorBidi" w:hAnsiTheme="majorBidi" w:cstheme="majorBidi"/>
          <w:sz w:val="18"/>
          <w:szCs w:val="18"/>
          <w:rtl/>
          <w:lang w:bidi="ar-DZ"/>
        </w:rPr>
        <w:t xml:space="preserve"> </w:t>
      </w:r>
    </w:p>
    <w:p w:rsidR="00560A38" w:rsidRPr="002C10B5"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w:t>
      </w:r>
      <w:r w:rsidRPr="002C10B5">
        <w:rPr>
          <w:rFonts w:ascii="Traditional Arabic" w:hAnsi="Traditional Arabic" w:cs="Traditional Arabic"/>
          <w:sz w:val="32"/>
          <w:szCs w:val="32"/>
          <w:rtl/>
          <w:lang w:bidi="ar-DZ"/>
        </w:rPr>
        <w:t>والصورة التقليدية لاستثمارات الصناديق السيادية الشرق الأوسطية هي الاستثمار في سندات الدين العمومي الأمريكية ثم الأوروبية باعتبارها ذات عوائد مضمونة حتى ولو كانت منخفضة إلا أنها قليلة المخاطر، ولكن سرعان ما بدأت تتجه إلى التملك في المؤسسات والشركات الكبرى ذات العوائد المالية المرتفعة</w:t>
      </w:r>
      <w:r w:rsidRPr="002C10B5">
        <w:rPr>
          <w:rStyle w:val="Appelnotedebasdep"/>
          <w:rFonts w:ascii="Traditional Arabic" w:hAnsi="Traditional Arabic" w:cs="Traditional Arabic"/>
          <w:sz w:val="32"/>
          <w:szCs w:val="32"/>
          <w:rtl/>
          <w:lang w:bidi="ar-DZ"/>
        </w:rPr>
        <w:footnoteReference w:id="23"/>
      </w:r>
      <w:r w:rsidRPr="002C10B5">
        <w:rPr>
          <w:rFonts w:ascii="Traditional Arabic" w:hAnsi="Traditional Arabic" w:cs="Traditional Arabic"/>
          <w:sz w:val="32"/>
          <w:szCs w:val="32"/>
          <w:rtl/>
          <w:lang w:bidi="ar-DZ"/>
        </w:rPr>
        <w:t xml:space="preserve">.    </w:t>
      </w:r>
    </w:p>
    <w:p w:rsidR="00560A38" w:rsidRPr="002C10B5"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كما </w:t>
      </w:r>
      <w:r w:rsidRPr="002C10B5">
        <w:rPr>
          <w:rFonts w:ascii="Traditional Arabic" w:hAnsi="Traditional Arabic" w:cs="Traditional Arabic"/>
          <w:sz w:val="32"/>
          <w:szCs w:val="32"/>
          <w:rtl/>
          <w:lang w:bidi="ar-DZ"/>
        </w:rPr>
        <w:t xml:space="preserve">ساهمت في إعادة رسملة المؤسسات المالية المتعثرة، ولولا تدخلها كان يمكن للخطر النظامي للأزمة (أثر العدوى) أن يكون أكثر أهمية، فلقد أصبحت الصناديق الخاصة وصناديق المضاربة ورأسمال المخاطرة تعاني من نقص فادح في السيولة، مما جعلها تقوم بتوفير جزء من هذه السيولة.    </w:t>
      </w:r>
    </w:p>
    <w:p w:rsidR="00560A38" w:rsidRPr="002C10B5"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وفي ظل الأزمة لم تتجه الصناديق السيادية العربية إلى الاستفادة من فرصة تدهور الأصول في الدول الصناعية، فقد أعاد الكثير منها توجيه أمواله نحو توظيفات أقل مخاطرة إلى أسواقها المحلية، وهذا بسبب ضعف الأداء في الدول الصناعية، ولاحتياجات التمويل المتزايدة في دولها الأصلية بفعل الأزمة. كما أنها لم تبادر في استغلال ظروف الأزمة، فلن تتم ملاحظة انخراط أي صندوق سيادي في إدارة أية مؤسسة مالية، ولم يرغب أي منها في التمثيل في مجالس إدارتها، ورغم كونها مملوكة للحكومات إلا أنها كانت دائما من حيث نشاطاتها وبرامجها خاضعة لقوانين ولوائح الدول التي تعمل فيها.  </w:t>
      </w:r>
    </w:p>
    <w:p w:rsidR="00560A38" w:rsidRDefault="00560A38" w:rsidP="00560A38">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وبالمقابل، تعرضت الصناديق السيادية خاصة الخليجية منها إلى خسائر من جراء الأزمة المالية العالمية الراهنة، قدرتها مجلة الايكونمست بـ </w:t>
      </w:r>
      <w:r w:rsidRPr="002C10B5">
        <w:rPr>
          <w:rFonts w:ascii="Traditional Arabic" w:hAnsi="Traditional Arabic" w:cs="Traditional Arabic"/>
          <w:sz w:val="24"/>
          <w:szCs w:val="24"/>
          <w:rtl/>
          <w:lang w:bidi="ar-DZ"/>
        </w:rPr>
        <w:t xml:space="preserve">400 </w:t>
      </w:r>
      <w:r w:rsidRPr="002C10B5">
        <w:rPr>
          <w:rFonts w:ascii="Traditional Arabic" w:hAnsi="Traditional Arabic" w:cs="Traditional Arabic"/>
          <w:sz w:val="32"/>
          <w:szCs w:val="32"/>
          <w:rtl/>
          <w:lang w:bidi="ar-DZ"/>
        </w:rPr>
        <w:t>مليار دولار، ولازالت الأسواق المالية العالمية تعاني من هبوط في أسعار الأوراق المالية. وامتدت الأزمة إلى القطاع الحقيقي بالإعلان عن إفلاس بعض المؤسسات الكبيرة أو تعرض قطاعات اقتصادية بكاملها – قطاع السيارات مثلا- إلى صعوبات، مما يؤثر على عوائد هذه الصناديق</w:t>
      </w:r>
      <w:r w:rsidRPr="002C10B5">
        <w:rPr>
          <w:rStyle w:val="Appelnotedebasdep"/>
          <w:rFonts w:ascii="Traditional Arabic" w:hAnsi="Traditional Arabic" w:cs="Traditional Arabic"/>
          <w:sz w:val="32"/>
          <w:szCs w:val="32"/>
          <w:rtl/>
          <w:lang w:bidi="ar-DZ"/>
        </w:rPr>
        <w:footnoteReference w:id="24"/>
      </w:r>
      <w:r w:rsidRPr="002C10B5">
        <w:rPr>
          <w:rFonts w:ascii="Traditional Arabic" w:hAnsi="Traditional Arabic" w:cs="Traditional Arabic"/>
          <w:sz w:val="32"/>
          <w:szCs w:val="32"/>
          <w:rtl/>
          <w:lang w:bidi="ar-DZ"/>
        </w:rPr>
        <w:t>.</w:t>
      </w:r>
    </w:p>
    <w:p w:rsidR="007A69BB" w:rsidRDefault="007A69BB" w:rsidP="007A69BB">
      <w:pPr>
        <w:tabs>
          <w:tab w:val="right" w:pos="567"/>
        </w:tabs>
        <w:bidi/>
        <w:jc w:val="both"/>
        <w:rPr>
          <w:rFonts w:ascii="Traditional Arabic" w:hAnsi="Traditional Arabic" w:cs="Traditional Arabic"/>
          <w:sz w:val="32"/>
          <w:szCs w:val="32"/>
          <w:rtl/>
          <w:lang w:bidi="ar-DZ"/>
        </w:rPr>
      </w:pPr>
    </w:p>
    <w:p w:rsidR="007A69BB" w:rsidRDefault="007A69BB" w:rsidP="007A69BB">
      <w:pPr>
        <w:tabs>
          <w:tab w:val="right" w:pos="567"/>
        </w:tabs>
        <w:bidi/>
        <w:jc w:val="both"/>
        <w:rPr>
          <w:rFonts w:ascii="Traditional Arabic" w:hAnsi="Traditional Arabic" w:cs="Traditional Arabic"/>
          <w:sz w:val="32"/>
          <w:szCs w:val="32"/>
          <w:rtl/>
          <w:lang w:bidi="ar-DZ"/>
        </w:rPr>
      </w:pPr>
    </w:p>
    <w:p w:rsidR="007A69BB" w:rsidRDefault="007A69BB" w:rsidP="007A69BB">
      <w:pPr>
        <w:tabs>
          <w:tab w:val="right" w:pos="567"/>
        </w:tabs>
        <w:bidi/>
        <w:jc w:val="both"/>
        <w:rPr>
          <w:rFonts w:ascii="Traditional Arabic" w:hAnsi="Traditional Arabic" w:cs="Traditional Arabic"/>
          <w:sz w:val="32"/>
          <w:szCs w:val="32"/>
          <w:rtl/>
          <w:lang w:bidi="ar-DZ"/>
        </w:rPr>
      </w:pPr>
    </w:p>
    <w:p w:rsidR="0098117A" w:rsidRPr="0098117A" w:rsidRDefault="0098117A" w:rsidP="00F94680">
      <w:pPr>
        <w:bidi/>
        <w:spacing w:after="0"/>
        <w:jc w:val="lowKashida"/>
        <w:rPr>
          <w:rFonts w:ascii="Traditional Arabic" w:hAnsi="Traditional Arabic" w:cs="Traditional Arabic"/>
          <w:b/>
          <w:bCs/>
          <w:sz w:val="32"/>
          <w:szCs w:val="32"/>
          <w:rtl/>
          <w:lang w:bidi="ar-EG"/>
        </w:rPr>
      </w:pPr>
      <w:r w:rsidRPr="0098117A">
        <w:rPr>
          <w:rFonts w:ascii="Traditional Arabic" w:hAnsi="Traditional Arabic" w:cs="Traditional Arabic" w:hint="cs"/>
          <w:b/>
          <w:bCs/>
          <w:sz w:val="32"/>
          <w:szCs w:val="32"/>
          <w:rtl/>
          <w:lang w:bidi="ar-EG"/>
        </w:rPr>
        <w:lastRenderedPageBreak/>
        <w:t xml:space="preserve">المطلب </w:t>
      </w:r>
      <w:r w:rsidR="00F94680">
        <w:rPr>
          <w:rFonts w:ascii="Traditional Arabic" w:hAnsi="Traditional Arabic" w:cs="Traditional Arabic" w:hint="cs"/>
          <w:b/>
          <w:bCs/>
          <w:sz w:val="32"/>
          <w:szCs w:val="32"/>
          <w:rtl/>
          <w:lang w:bidi="ar-EG"/>
        </w:rPr>
        <w:t>الثاني</w:t>
      </w:r>
      <w:r w:rsidRPr="0098117A">
        <w:rPr>
          <w:rFonts w:ascii="Traditional Arabic" w:hAnsi="Traditional Arabic" w:cs="Traditional Arabic" w:hint="cs"/>
          <w:b/>
          <w:bCs/>
          <w:sz w:val="32"/>
          <w:szCs w:val="32"/>
          <w:rtl/>
          <w:lang w:bidi="ar-EG"/>
        </w:rPr>
        <w:t>: تراجع التجارة الدولية وانعكاساتها على الدول العربية</w:t>
      </w:r>
      <w:r w:rsidR="003935D8">
        <w:rPr>
          <w:rFonts w:ascii="Traditional Arabic" w:hAnsi="Traditional Arabic" w:cs="Traditional Arabic" w:hint="cs"/>
          <w:b/>
          <w:bCs/>
          <w:sz w:val="32"/>
          <w:szCs w:val="32"/>
          <w:rtl/>
          <w:lang w:bidi="ar-EG"/>
        </w:rPr>
        <w:t>:</w:t>
      </w:r>
      <w:r w:rsidRPr="0098117A">
        <w:rPr>
          <w:rFonts w:ascii="Traditional Arabic" w:hAnsi="Traditional Arabic" w:cs="Traditional Arabic" w:hint="cs"/>
          <w:b/>
          <w:bCs/>
          <w:sz w:val="32"/>
          <w:szCs w:val="32"/>
          <w:rtl/>
          <w:lang w:bidi="ar-EG"/>
        </w:rPr>
        <w:t xml:space="preserve"> </w:t>
      </w:r>
    </w:p>
    <w:p w:rsidR="00816F6C" w:rsidRPr="003935D8" w:rsidRDefault="00816F6C" w:rsidP="00272C30">
      <w:pPr>
        <w:tabs>
          <w:tab w:val="right" w:pos="567"/>
        </w:tabs>
        <w:bidi/>
        <w:spacing w:after="0"/>
        <w:jc w:val="both"/>
        <w:rPr>
          <w:rFonts w:ascii="Traditional Arabic" w:hAnsi="Traditional Arabic" w:cs="Traditional Arabic"/>
          <w:b/>
          <w:bCs/>
          <w:sz w:val="32"/>
          <w:szCs w:val="32"/>
          <w:rtl/>
          <w:lang w:bidi="ar-EG"/>
        </w:rPr>
      </w:pPr>
      <w:r w:rsidRPr="003935D8">
        <w:rPr>
          <w:rFonts w:ascii="Traditional Arabic" w:hAnsi="Traditional Arabic" w:cs="Traditional Arabic" w:hint="cs"/>
          <w:b/>
          <w:bCs/>
          <w:sz w:val="24"/>
          <w:szCs w:val="24"/>
          <w:rtl/>
          <w:lang w:bidi="ar-DZ"/>
        </w:rPr>
        <w:t xml:space="preserve">1- </w:t>
      </w:r>
      <w:r w:rsidRPr="003935D8">
        <w:rPr>
          <w:rFonts w:ascii="Traditional Arabic" w:hAnsi="Traditional Arabic" w:cs="Traditional Arabic" w:hint="cs"/>
          <w:b/>
          <w:bCs/>
          <w:sz w:val="32"/>
          <w:szCs w:val="32"/>
          <w:rtl/>
          <w:lang w:bidi="ar-EG"/>
        </w:rPr>
        <w:t>تأثير الأزمة على أسعار النفط والسلع:</w:t>
      </w:r>
      <w:r>
        <w:rPr>
          <w:rFonts w:ascii="Traditional Arabic" w:hAnsi="Traditional Arabic" w:cs="Traditional Arabic" w:hint="cs"/>
          <w:b/>
          <w:bCs/>
          <w:sz w:val="32"/>
          <w:szCs w:val="32"/>
          <w:rtl/>
          <w:lang w:bidi="ar-EG"/>
        </w:rPr>
        <w:t xml:space="preserve">   </w:t>
      </w:r>
    </w:p>
    <w:p w:rsidR="004A343A" w:rsidRPr="002C10B5" w:rsidRDefault="00816F6C" w:rsidP="005A24E5">
      <w:pPr>
        <w:tabs>
          <w:tab w:val="right" w:pos="567"/>
        </w:tabs>
        <w:bidi/>
        <w:ind w:firstLine="567"/>
        <w:jc w:val="both"/>
        <w:rPr>
          <w:rFonts w:ascii="Traditional Arabic" w:hAnsi="Traditional Arabic" w:cs="Traditional Arabic"/>
          <w:sz w:val="32"/>
          <w:szCs w:val="32"/>
          <w:rtl/>
          <w:lang w:bidi="ar-EG"/>
        </w:rPr>
      </w:pPr>
      <w:r w:rsidRPr="002C10B5">
        <w:rPr>
          <w:rFonts w:ascii="Traditional Arabic" w:hAnsi="Traditional Arabic" w:cs="Traditional Arabic"/>
          <w:sz w:val="32"/>
          <w:szCs w:val="32"/>
          <w:rtl/>
          <w:lang w:bidi="ar-EG"/>
        </w:rPr>
        <w:t>سرعان ما تحولت الأزمة المالية إلى أزمة في الأسواق الحقيقية م</w:t>
      </w:r>
      <w:r>
        <w:rPr>
          <w:rFonts w:ascii="Traditional Arabic" w:hAnsi="Traditional Arabic" w:cs="Traditional Arabic"/>
          <w:sz w:val="32"/>
          <w:szCs w:val="32"/>
          <w:rtl/>
          <w:lang w:bidi="ar-EG"/>
        </w:rPr>
        <w:t>ع تراجع الطلب على السلع،</w:t>
      </w:r>
      <w:r w:rsidRPr="002C10B5">
        <w:rPr>
          <w:rFonts w:ascii="Traditional Arabic" w:hAnsi="Traditional Arabic" w:cs="Traditional Arabic"/>
          <w:sz w:val="32"/>
          <w:szCs w:val="32"/>
          <w:rtl/>
          <w:lang w:bidi="ar-EG"/>
        </w:rPr>
        <w:t xml:space="preserve"> ولقد </w:t>
      </w:r>
      <w:r>
        <w:rPr>
          <w:rFonts w:ascii="Traditional Arabic" w:hAnsi="Traditional Arabic" w:cs="Traditional Arabic" w:hint="cs"/>
          <w:sz w:val="32"/>
          <w:szCs w:val="32"/>
          <w:rtl/>
          <w:lang w:bidi="ar-EG"/>
        </w:rPr>
        <w:t>انخفضت</w:t>
      </w:r>
      <w:r w:rsidRPr="002C10B5">
        <w:rPr>
          <w:rFonts w:ascii="Traditional Arabic" w:hAnsi="Traditional Arabic" w:cs="Traditional Arabic"/>
          <w:sz w:val="32"/>
          <w:szCs w:val="32"/>
          <w:rtl/>
          <w:lang w:bidi="ar-EG"/>
        </w:rPr>
        <w:t xml:space="preserve"> أسعا</w:t>
      </w:r>
      <w:r w:rsidR="00E209DF">
        <w:rPr>
          <w:rFonts w:ascii="Traditional Arabic" w:hAnsi="Traditional Arabic" w:cs="Traditional Arabic"/>
          <w:sz w:val="32"/>
          <w:szCs w:val="32"/>
          <w:rtl/>
          <w:lang w:bidi="ar-EG"/>
        </w:rPr>
        <w:t>ر المواد الأولية بشكل ملفت، ف</w:t>
      </w:r>
      <w:r w:rsidRPr="002C10B5">
        <w:rPr>
          <w:rFonts w:ascii="Traditional Arabic" w:hAnsi="Traditional Arabic" w:cs="Traditional Arabic"/>
          <w:sz w:val="32"/>
          <w:szCs w:val="32"/>
          <w:rtl/>
          <w:lang w:bidi="ar-EG"/>
        </w:rPr>
        <w:t>تقلص الطلب على النفط وانهارت أسعاره</w:t>
      </w:r>
      <w:r>
        <w:rPr>
          <w:rFonts w:ascii="Traditional Arabic" w:hAnsi="Traditional Arabic" w:cs="Traditional Arabic" w:hint="cs"/>
          <w:sz w:val="32"/>
          <w:szCs w:val="32"/>
          <w:rtl/>
          <w:lang w:bidi="ar-EG"/>
        </w:rPr>
        <w:t xml:space="preserve"> إلى</w:t>
      </w:r>
      <w:r w:rsidRPr="002C10B5">
        <w:rPr>
          <w:rFonts w:ascii="Traditional Arabic" w:hAnsi="Traditional Arabic" w:cs="Traditional Arabic"/>
          <w:sz w:val="32"/>
          <w:szCs w:val="32"/>
          <w:rtl/>
          <w:lang w:bidi="ar-EG"/>
        </w:rPr>
        <w:t xml:space="preserve"> ما يزيد عل</w:t>
      </w:r>
      <w:r>
        <w:rPr>
          <w:rFonts w:ascii="Traditional Arabic" w:hAnsi="Traditional Arabic" w:cs="Traditional Arabic"/>
          <w:sz w:val="32"/>
          <w:szCs w:val="32"/>
          <w:rtl/>
          <w:lang w:bidi="ar-EG"/>
        </w:rPr>
        <w:t>ى ثلثي سعره خلال أشهر قليلة،</w:t>
      </w:r>
      <w:r w:rsidR="001F5278">
        <w:rPr>
          <w:rFonts w:ascii="Traditional Arabic" w:hAnsi="Traditional Arabic" w:cs="Traditional Arabic"/>
          <w:sz w:val="32"/>
          <w:szCs w:val="32"/>
          <w:rtl/>
          <w:lang w:bidi="ar-EG"/>
        </w:rPr>
        <w:t xml:space="preserve"> حيث ارتفعت أسعار</w:t>
      </w:r>
      <w:r w:rsidR="001F5278">
        <w:rPr>
          <w:rFonts w:ascii="Traditional Arabic" w:hAnsi="Traditional Arabic" w:cs="Traditional Arabic" w:hint="cs"/>
          <w:sz w:val="32"/>
          <w:szCs w:val="32"/>
          <w:rtl/>
          <w:lang w:bidi="ar-EG"/>
        </w:rPr>
        <w:t xml:space="preserve"> خام برنت</w:t>
      </w:r>
      <w:r w:rsidRPr="002C10B5">
        <w:rPr>
          <w:rFonts w:ascii="Traditional Arabic" w:hAnsi="Traditional Arabic" w:cs="Traditional Arabic"/>
          <w:sz w:val="32"/>
          <w:szCs w:val="32"/>
          <w:rtl/>
          <w:lang w:bidi="ar-EG"/>
        </w:rPr>
        <w:t xml:space="preserve"> في بداية عام </w:t>
      </w:r>
      <w:r w:rsidRPr="002C10B5">
        <w:rPr>
          <w:rFonts w:ascii="Traditional Arabic" w:hAnsi="Traditional Arabic" w:cs="Traditional Arabic"/>
          <w:sz w:val="24"/>
          <w:szCs w:val="24"/>
          <w:rtl/>
          <w:lang w:bidi="ar-EG"/>
        </w:rPr>
        <w:t xml:space="preserve">2008 </w:t>
      </w:r>
      <w:r w:rsidRPr="002C10B5">
        <w:rPr>
          <w:rFonts w:ascii="Traditional Arabic" w:hAnsi="Traditional Arabic" w:cs="Traditional Arabic"/>
          <w:sz w:val="32"/>
          <w:szCs w:val="32"/>
          <w:rtl/>
          <w:lang w:bidi="ar-EG"/>
        </w:rPr>
        <w:t xml:space="preserve">من </w:t>
      </w:r>
      <w:r w:rsidRPr="002C10B5">
        <w:rPr>
          <w:rFonts w:ascii="Traditional Arabic" w:hAnsi="Traditional Arabic" w:cs="Traditional Arabic"/>
          <w:sz w:val="24"/>
          <w:szCs w:val="24"/>
          <w:rtl/>
          <w:lang w:bidi="ar-EG"/>
        </w:rPr>
        <w:t xml:space="preserve">90 </w:t>
      </w:r>
      <w:r w:rsidRPr="002C10B5">
        <w:rPr>
          <w:rFonts w:ascii="Traditional Arabic" w:hAnsi="Traditional Arabic" w:cs="Traditional Arabic"/>
          <w:sz w:val="32"/>
          <w:szCs w:val="32"/>
          <w:rtl/>
          <w:lang w:bidi="ar-EG"/>
        </w:rPr>
        <w:t xml:space="preserve">دولار إلى </w:t>
      </w:r>
      <w:r w:rsidR="005A24E5">
        <w:rPr>
          <w:rFonts w:ascii="Traditional Arabic" w:hAnsi="Traditional Arabic" w:cs="Traditional Arabic"/>
          <w:sz w:val="24"/>
          <w:szCs w:val="24"/>
          <w:lang w:bidi="ar-EG"/>
        </w:rPr>
        <w:t>147</w:t>
      </w:r>
      <w:r w:rsidRPr="002C10B5">
        <w:rPr>
          <w:rFonts w:ascii="Traditional Arabic" w:hAnsi="Traditional Arabic" w:cs="Traditional Arabic"/>
          <w:sz w:val="24"/>
          <w:szCs w:val="24"/>
          <w:rtl/>
          <w:lang w:bidi="ar-EG"/>
        </w:rPr>
        <w:t xml:space="preserve"> </w:t>
      </w:r>
      <w:r w:rsidRPr="002C10B5">
        <w:rPr>
          <w:rFonts w:ascii="Traditional Arabic" w:hAnsi="Traditional Arabic" w:cs="Traditional Arabic"/>
          <w:sz w:val="32"/>
          <w:szCs w:val="32"/>
          <w:rtl/>
          <w:lang w:bidi="ar-EG"/>
        </w:rPr>
        <w:t>دولارا للبرميل</w:t>
      </w:r>
      <w:r>
        <w:rPr>
          <w:rFonts w:ascii="Traditional Arabic" w:hAnsi="Traditional Arabic" w:cs="Traditional Arabic" w:hint="cs"/>
          <w:sz w:val="32"/>
          <w:szCs w:val="32"/>
          <w:rtl/>
          <w:lang w:bidi="ar-EG"/>
        </w:rPr>
        <w:t xml:space="preserve"> في شهر جويلية</w:t>
      </w:r>
      <w:r w:rsidR="00E209DF" w:rsidRPr="00E209DF">
        <w:rPr>
          <w:rFonts w:ascii="Traditional Arabic" w:hAnsi="Traditional Arabic" w:cs="Traditional Arabic"/>
          <w:sz w:val="32"/>
          <w:szCs w:val="32"/>
          <w:rtl/>
          <w:lang w:bidi="ar-EG"/>
        </w:rPr>
        <w:t xml:space="preserve"> </w:t>
      </w:r>
      <w:r w:rsidR="00E209DF" w:rsidRPr="002C10B5">
        <w:rPr>
          <w:rFonts w:ascii="Traditional Arabic" w:hAnsi="Traditional Arabic" w:cs="Traditional Arabic"/>
          <w:sz w:val="32"/>
          <w:szCs w:val="32"/>
          <w:rtl/>
          <w:lang w:bidi="ar-EG"/>
        </w:rPr>
        <w:t>من العام</w:t>
      </w:r>
      <w:r w:rsidR="00E209DF">
        <w:rPr>
          <w:rFonts w:ascii="Traditional Arabic" w:hAnsi="Traditional Arabic" w:cs="Traditional Arabic"/>
          <w:sz w:val="32"/>
          <w:szCs w:val="32"/>
          <w:lang w:bidi="ar-EG"/>
        </w:rPr>
        <w:t xml:space="preserve"> </w:t>
      </w:r>
      <w:r w:rsidR="00E209DF">
        <w:rPr>
          <w:rFonts w:ascii="Traditional Arabic" w:hAnsi="Traditional Arabic" w:cs="Traditional Arabic" w:hint="cs"/>
          <w:sz w:val="32"/>
          <w:szCs w:val="32"/>
          <w:rtl/>
          <w:lang w:bidi="ar-EG"/>
        </w:rPr>
        <w:t>نفسه</w:t>
      </w:r>
      <w:r w:rsidR="00094547">
        <w:rPr>
          <w:rStyle w:val="Appelnotedebasdep"/>
          <w:rFonts w:ascii="Traditional Arabic" w:hAnsi="Traditional Arabic" w:cs="Traditional Arabic"/>
          <w:sz w:val="32"/>
          <w:szCs w:val="32"/>
          <w:rtl/>
          <w:lang w:bidi="ar-EG"/>
        </w:rPr>
        <w:footnoteReference w:id="25"/>
      </w:r>
      <w:r>
        <w:rPr>
          <w:rFonts w:ascii="Traditional Arabic" w:hAnsi="Traditional Arabic" w:cs="Traditional Arabic" w:hint="cs"/>
          <w:sz w:val="32"/>
          <w:szCs w:val="32"/>
          <w:rtl/>
          <w:lang w:bidi="ar-EG"/>
        </w:rPr>
        <w:t>،</w:t>
      </w:r>
      <w:r w:rsidRPr="002C10B5">
        <w:rPr>
          <w:rFonts w:ascii="Traditional Arabic" w:hAnsi="Traditional Arabic" w:cs="Traditional Arabic"/>
          <w:sz w:val="32"/>
          <w:szCs w:val="32"/>
          <w:rtl/>
          <w:lang w:bidi="ar-EG"/>
        </w:rPr>
        <w:t xml:space="preserve"> ثم انهارت</w:t>
      </w:r>
      <w:r w:rsidR="00E209DF" w:rsidRPr="00E209DF">
        <w:rPr>
          <w:rFonts w:ascii="Traditional Arabic" w:hAnsi="Traditional Arabic" w:cs="Traditional Arabic" w:hint="cs"/>
          <w:sz w:val="32"/>
          <w:szCs w:val="32"/>
          <w:rtl/>
          <w:lang w:bidi="ar-DZ"/>
        </w:rPr>
        <w:t xml:space="preserve"> </w:t>
      </w:r>
      <w:r w:rsidR="00E209DF">
        <w:rPr>
          <w:rFonts w:ascii="Traditional Arabic" w:hAnsi="Traditional Arabic" w:cs="Traditional Arabic" w:hint="cs"/>
          <w:sz w:val="32"/>
          <w:szCs w:val="32"/>
          <w:rtl/>
          <w:lang w:bidi="ar-DZ"/>
        </w:rPr>
        <w:t>لتصل</w:t>
      </w:r>
      <w:r w:rsidR="00E209DF" w:rsidRPr="001F5278">
        <w:rPr>
          <w:rFonts w:ascii="Traditional Arabic" w:hAnsi="Traditional Arabic" w:cs="Traditional Arabic" w:hint="cs"/>
          <w:sz w:val="32"/>
          <w:szCs w:val="32"/>
          <w:rtl/>
          <w:lang w:bidi="ar-DZ"/>
        </w:rPr>
        <w:t xml:space="preserve"> </w:t>
      </w:r>
      <w:r w:rsidR="00E209DF" w:rsidRPr="001F5278">
        <w:rPr>
          <w:rFonts w:ascii="Traditional Arabic" w:hAnsi="Traditional Arabic" w:cs="Traditional Arabic" w:hint="cs"/>
          <w:sz w:val="24"/>
          <w:szCs w:val="24"/>
          <w:rtl/>
          <w:lang w:bidi="ar-DZ"/>
        </w:rPr>
        <w:t xml:space="preserve">36 </w:t>
      </w:r>
      <w:r w:rsidR="00E209DF" w:rsidRPr="001F5278">
        <w:rPr>
          <w:rFonts w:ascii="Traditional Arabic" w:hAnsi="Traditional Arabic" w:cs="Traditional Arabic" w:hint="cs"/>
          <w:sz w:val="32"/>
          <w:szCs w:val="32"/>
          <w:rtl/>
          <w:lang w:bidi="ar-DZ"/>
        </w:rPr>
        <w:t xml:space="preserve">دولارا للبرميل في </w:t>
      </w:r>
      <w:r w:rsidR="00E209DF" w:rsidRPr="001F5278">
        <w:rPr>
          <w:rFonts w:ascii="Traditional Arabic" w:hAnsi="Traditional Arabic" w:cs="Traditional Arabic" w:hint="cs"/>
          <w:sz w:val="24"/>
          <w:szCs w:val="24"/>
          <w:rtl/>
          <w:lang w:bidi="ar-DZ"/>
        </w:rPr>
        <w:t xml:space="preserve">27 </w:t>
      </w:r>
      <w:r w:rsidR="00E209DF" w:rsidRPr="001F5278">
        <w:rPr>
          <w:rFonts w:ascii="Traditional Arabic" w:hAnsi="Traditional Arabic" w:cs="Traditional Arabic" w:hint="cs"/>
          <w:sz w:val="32"/>
          <w:szCs w:val="32"/>
          <w:rtl/>
          <w:lang w:bidi="ar-DZ"/>
        </w:rPr>
        <w:t xml:space="preserve">فيفري </w:t>
      </w:r>
      <w:r w:rsidR="00E209DF" w:rsidRPr="001F5278">
        <w:rPr>
          <w:rFonts w:ascii="Traditional Arabic" w:hAnsi="Traditional Arabic" w:cs="Traditional Arabic" w:hint="cs"/>
          <w:sz w:val="24"/>
          <w:szCs w:val="24"/>
          <w:rtl/>
          <w:lang w:bidi="ar-DZ"/>
        </w:rPr>
        <w:t>2009</w:t>
      </w:r>
      <w:r>
        <w:rPr>
          <w:rStyle w:val="Appelnotedebasdep"/>
          <w:rFonts w:ascii="Traditional Arabic" w:hAnsi="Traditional Arabic" w:cs="Traditional Arabic"/>
          <w:sz w:val="32"/>
          <w:szCs w:val="32"/>
          <w:rtl/>
          <w:lang w:bidi="ar-EG"/>
        </w:rPr>
        <w:footnoteReference w:id="26"/>
      </w:r>
      <w:r>
        <w:rPr>
          <w:rFonts w:ascii="Traditional Arabic" w:hAnsi="Traditional Arabic" w:cs="Traditional Arabic" w:hint="cs"/>
          <w:sz w:val="32"/>
          <w:szCs w:val="32"/>
          <w:rtl/>
          <w:lang w:bidi="ar-EG"/>
        </w:rPr>
        <w:t>،</w:t>
      </w:r>
      <w:r w:rsidR="001F5278">
        <w:rPr>
          <w:rFonts w:ascii="Traditional Arabic" w:hAnsi="Traditional Arabic" w:cs="Traditional Arabic" w:hint="cs"/>
          <w:sz w:val="32"/>
          <w:szCs w:val="32"/>
          <w:rtl/>
          <w:lang w:bidi="ar-EG"/>
        </w:rPr>
        <w:t xml:space="preserve"> </w:t>
      </w:r>
      <w:r>
        <w:rPr>
          <w:rFonts w:ascii="Traditional Arabic" w:hAnsi="Traditional Arabic" w:cs="Traditional Arabic" w:hint="cs"/>
          <w:sz w:val="32"/>
          <w:szCs w:val="32"/>
          <w:rtl/>
          <w:lang w:bidi="ar-EG"/>
        </w:rPr>
        <w:t>و</w:t>
      </w:r>
      <w:r w:rsidR="00D82B14">
        <w:rPr>
          <w:rFonts w:ascii="Traditional Arabic" w:hAnsi="Traditional Arabic" w:cs="Traditional Arabic" w:hint="cs"/>
          <w:sz w:val="32"/>
          <w:szCs w:val="32"/>
          <w:rtl/>
          <w:lang w:bidi="ar-EG"/>
        </w:rPr>
        <w:t xml:space="preserve">قد استجابت منظمة الأوبك </w:t>
      </w:r>
      <w:r>
        <w:rPr>
          <w:rFonts w:ascii="Traditional Arabic" w:hAnsi="Traditional Arabic" w:cs="Traditional Arabic" w:hint="cs"/>
          <w:sz w:val="32"/>
          <w:szCs w:val="32"/>
          <w:rtl/>
          <w:lang w:bidi="ar-EG"/>
        </w:rPr>
        <w:t xml:space="preserve">من خلال خفض الإنتاج اليومي بـ </w:t>
      </w:r>
      <w:r w:rsidRPr="00026090">
        <w:rPr>
          <w:rFonts w:ascii="Traditional Arabic" w:hAnsi="Traditional Arabic" w:cs="Traditional Arabic" w:hint="cs"/>
          <w:sz w:val="24"/>
          <w:szCs w:val="24"/>
          <w:rtl/>
          <w:lang w:bidi="ar-EG"/>
        </w:rPr>
        <w:t xml:space="preserve">4.2 </w:t>
      </w:r>
      <w:r>
        <w:rPr>
          <w:rFonts w:ascii="Traditional Arabic" w:hAnsi="Traditional Arabic" w:cs="Traditional Arabic" w:hint="cs"/>
          <w:sz w:val="32"/>
          <w:szCs w:val="32"/>
          <w:rtl/>
          <w:lang w:bidi="ar-EG"/>
        </w:rPr>
        <w:t xml:space="preserve">مليون برميل بالمقارنة مع مستويات الإنتاج في سبتمبر </w:t>
      </w:r>
      <w:r w:rsidRPr="00026090">
        <w:rPr>
          <w:rFonts w:ascii="Traditional Arabic" w:hAnsi="Traditional Arabic" w:cs="Traditional Arabic" w:hint="cs"/>
          <w:sz w:val="24"/>
          <w:szCs w:val="24"/>
          <w:rtl/>
          <w:lang w:bidi="ar-EG"/>
        </w:rPr>
        <w:t xml:space="preserve">2008 </w:t>
      </w:r>
      <w:r>
        <w:rPr>
          <w:rFonts w:ascii="Traditional Arabic" w:hAnsi="Traditional Arabic" w:cs="Traditional Arabic" w:hint="cs"/>
          <w:sz w:val="32"/>
          <w:szCs w:val="32"/>
          <w:rtl/>
          <w:lang w:bidi="ar-EG"/>
        </w:rPr>
        <w:t xml:space="preserve">بدءا من أول جانفي </w:t>
      </w:r>
      <w:r w:rsidRPr="00026090">
        <w:rPr>
          <w:rFonts w:ascii="Traditional Arabic" w:hAnsi="Traditional Arabic" w:cs="Traditional Arabic" w:hint="cs"/>
          <w:sz w:val="24"/>
          <w:szCs w:val="24"/>
          <w:rtl/>
          <w:lang w:bidi="ar-EG"/>
        </w:rPr>
        <w:t>2009</w:t>
      </w:r>
      <w:r w:rsidRPr="008736ED">
        <w:rPr>
          <w:rStyle w:val="Appelnotedebasdep"/>
          <w:rFonts w:ascii="Traditional Arabic" w:hAnsi="Traditional Arabic" w:cs="Traditional Arabic"/>
          <w:sz w:val="32"/>
          <w:szCs w:val="32"/>
          <w:rtl/>
          <w:lang w:bidi="ar-EG"/>
        </w:rPr>
        <w:footnoteReference w:id="27"/>
      </w:r>
      <w:r>
        <w:rPr>
          <w:rFonts w:ascii="Traditional Arabic" w:hAnsi="Traditional Arabic" w:cs="Traditional Arabic" w:hint="cs"/>
          <w:sz w:val="32"/>
          <w:szCs w:val="32"/>
          <w:rtl/>
          <w:lang w:bidi="ar-EG"/>
        </w:rPr>
        <w:t xml:space="preserve">. </w:t>
      </w:r>
      <w:r w:rsidRPr="002C10B5">
        <w:rPr>
          <w:rFonts w:ascii="Traditional Arabic" w:hAnsi="Traditional Arabic" w:cs="Traditional Arabic"/>
          <w:sz w:val="32"/>
          <w:szCs w:val="32"/>
          <w:rtl/>
          <w:lang w:bidi="ar-EG"/>
        </w:rPr>
        <w:t xml:space="preserve">وبالمثل تراجعت أسعار الحبوب والسكر والزيوت وغيرها من المواد الغذائية بعدما شهدت زيادة كبيرة في </w:t>
      </w:r>
      <w:r w:rsidR="000D1C48">
        <w:rPr>
          <w:rFonts w:ascii="Traditional Arabic" w:hAnsi="Traditional Arabic" w:cs="Traditional Arabic"/>
          <w:sz w:val="32"/>
          <w:szCs w:val="32"/>
          <w:rtl/>
          <w:lang w:bidi="ar-EG"/>
        </w:rPr>
        <w:t>أول العام كما يوضح الشكل التالي</w:t>
      </w:r>
      <w:r w:rsidR="000D1C48">
        <w:rPr>
          <w:rFonts w:ascii="Traditional Arabic" w:hAnsi="Traditional Arabic" w:cs="Traditional Arabic" w:hint="cs"/>
          <w:sz w:val="32"/>
          <w:szCs w:val="32"/>
          <w:rtl/>
          <w:lang w:bidi="ar-EG"/>
        </w:rPr>
        <w:t xml:space="preserve">: </w:t>
      </w:r>
      <w:r>
        <w:rPr>
          <w:rFonts w:ascii="Traditional Arabic" w:hAnsi="Traditional Arabic" w:cs="Traditional Arabic" w:hint="cs"/>
          <w:sz w:val="32"/>
          <w:szCs w:val="32"/>
          <w:rtl/>
          <w:lang w:bidi="ar-EG"/>
        </w:rPr>
        <w:t xml:space="preserve">     </w:t>
      </w:r>
    </w:p>
    <w:p w:rsidR="00816F6C" w:rsidRPr="001C1786" w:rsidRDefault="00816F6C" w:rsidP="0067613E">
      <w:pPr>
        <w:bidi/>
        <w:spacing w:before="120" w:after="120" w:line="240" w:lineRule="auto"/>
        <w:jc w:val="center"/>
        <w:rPr>
          <w:rFonts w:ascii="Traditional Arabic" w:hAnsi="Traditional Arabic" w:cs="Traditional Arabic"/>
          <w:sz w:val="32"/>
          <w:szCs w:val="32"/>
          <w:rtl/>
          <w:lang w:bidi="ar-EG"/>
        </w:rPr>
      </w:pPr>
      <w:r w:rsidRPr="001C1786">
        <w:rPr>
          <w:rFonts w:ascii="Traditional Arabic" w:hAnsi="Traditional Arabic" w:cs="Traditional Arabic"/>
          <w:sz w:val="32"/>
          <w:szCs w:val="32"/>
          <w:rtl/>
          <w:lang w:bidi="ar-EG"/>
        </w:rPr>
        <w:t xml:space="preserve">الشكل رقم </w:t>
      </w:r>
      <w:r w:rsidR="000D1C48">
        <w:rPr>
          <w:rFonts w:ascii="Traditional Arabic" w:hAnsi="Traditional Arabic" w:cs="Traditional Arabic" w:hint="cs"/>
          <w:sz w:val="24"/>
          <w:szCs w:val="24"/>
          <w:rtl/>
          <w:lang w:bidi="ar-EG"/>
        </w:rPr>
        <w:t>24</w:t>
      </w:r>
      <w:r w:rsidRPr="001C1786">
        <w:rPr>
          <w:rFonts w:ascii="Traditional Arabic" w:hAnsi="Traditional Arabic" w:cs="Traditional Arabic"/>
          <w:sz w:val="32"/>
          <w:szCs w:val="32"/>
          <w:rtl/>
          <w:lang w:bidi="ar-EG"/>
        </w:rPr>
        <w:t xml:space="preserve">: الرقم </w:t>
      </w:r>
      <w:r w:rsidR="000D1C48" w:rsidRPr="001C1786">
        <w:rPr>
          <w:rFonts w:ascii="Traditional Arabic" w:hAnsi="Traditional Arabic" w:cs="Traditional Arabic" w:hint="cs"/>
          <w:sz w:val="32"/>
          <w:szCs w:val="32"/>
          <w:rtl/>
          <w:lang w:bidi="ar-EG"/>
        </w:rPr>
        <w:t>القياسي</w:t>
      </w:r>
      <w:r w:rsidRPr="001C1786">
        <w:rPr>
          <w:rFonts w:ascii="Traditional Arabic" w:hAnsi="Traditional Arabic" w:cs="Traditional Arabic"/>
          <w:sz w:val="32"/>
          <w:szCs w:val="32"/>
          <w:rtl/>
          <w:lang w:bidi="ar-EG"/>
        </w:rPr>
        <w:t xml:space="preserve"> لأسعار النفط والمعادن والغذاء</w:t>
      </w:r>
      <w:r w:rsidR="00212A79">
        <w:rPr>
          <w:rFonts w:ascii="Traditional Arabic" w:hAnsi="Traditional Arabic" w:cs="Traditional Arabic" w:hint="cs"/>
          <w:sz w:val="32"/>
          <w:szCs w:val="32"/>
          <w:rtl/>
          <w:lang w:bidi="ar-EG"/>
        </w:rPr>
        <w:t xml:space="preserve"> خلال الفترة </w:t>
      </w:r>
      <w:r w:rsidR="00212A79" w:rsidRPr="00212A79">
        <w:rPr>
          <w:rFonts w:ascii="Traditional Arabic" w:hAnsi="Traditional Arabic" w:cs="Traditional Arabic" w:hint="cs"/>
          <w:sz w:val="24"/>
          <w:szCs w:val="24"/>
          <w:rtl/>
          <w:lang w:bidi="ar-EG"/>
        </w:rPr>
        <w:t>1998-2008</w:t>
      </w:r>
      <w:r w:rsidRPr="00212A79">
        <w:rPr>
          <w:rFonts w:ascii="Traditional Arabic" w:hAnsi="Traditional Arabic" w:cs="Traditional Arabic"/>
          <w:sz w:val="24"/>
          <w:szCs w:val="24"/>
          <w:rtl/>
          <w:lang w:bidi="ar-EG"/>
        </w:rPr>
        <w:t xml:space="preserve"> </w:t>
      </w:r>
      <w:r w:rsidRPr="001C1786">
        <w:rPr>
          <w:rFonts w:ascii="Traditional Arabic" w:hAnsi="Traditional Arabic" w:cs="Traditional Arabic"/>
          <w:sz w:val="32"/>
          <w:szCs w:val="32"/>
          <w:rtl/>
          <w:lang w:bidi="ar-EG"/>
        </w:rPr>
        <w:t>(</w:t>
      </w:r>
      <w:r w:rsidRPr="001C1786">
        <w:rPr>
          <w:rFonts w:ascii="Traditional Arabic" w:hAnsi="Traditional Arabic" w:cs="Traditional Arabic"/>
          <w:sz w:val="24"/>
          <w:szCs w:val="24"/>
          <w:rtl/>
          <w:lang w:bidi="ar-EG"/>
        </w:rPr>
        <w:t>2000=100</w:t>
      </w:r>
      <w:r w:rsidRPr="001C1786">
        <w:rPr>
          <w:rFonts w:ascii="Traditional Arabic" w:hAnsi="Traditional Arabic" w:cs="Traditional Arabic"/>
          <w:sz w:val="32"/>
          <w:szCs w:val="32"/>
          <w:rtl/>
          <w:lang w:bidi="ar-EG"/>
        </w:rPr>
        <w:t>)</w:t>
      </w:r>
    </w:p>
    <w:p w:rsidR="00816F6C" w:rsidRPr="002C10B5" w:rsidRDefault="00816F6C" w:rsidP="00816F6C">
      <w:pPr>
        <w:bidi/>
        <w:spacing w:after="0" w:line="240" w:lineRule="auto"/>
        <w:jc w:val="center"/>
        <w:rPr>
          <w:rFonts w:ascii="Traditional Arabic" w:hAnsi="Traditional Arabic" w:cs="Traditional Arabic"/>
          <w:sz w:val="36"/>
          <w:szCs w:val="36"/>
          <w:rtl/>
          <w:lang w:bidi="ar-EG"/>
        </w:rPr>
      </w:pPr>
      <w:r w:rsidRPr="002C10B5">
        <w:rPr>
          <w:rFonts w:ascii="Traditional Arabic" w:hAnsi="Traditional Arabic" w:cs="Traditional Arabic"/>
          <w:noProof/>
          <w:sz w:val="36"/>
          <w:szCs w:val="36"/>
        </w:rPr>
        <w:drawing>
          <wp:inline distT="0" distB="0" distL="0" distR="0">
            <wp:extent cx="3583552" cy="2216989"/>
            <wp:effectExtent l="19050" t="0" r="0"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3606674" cy="2231294"/>
                    </a:xfrm>
                    <a:prstGeom prst="rect">
                      <a:avLst/>
                    </a:prstGeom>
                    <a:noFill/>
                    <a:ln w="9525">
                      <a:noFill/>
                      <a:miter lim="800000"/>
                      <a:headEnd/>
                      <a:tailEnd/>
                    </a:ln>
                  </pic:spPr>
                </pic:pic>
              </a:graphicData>
            </a:graphic>
          </wp:inline>
        </w:drawing>
      </w:r>
    </w:p>
    <w:p w:rsidR="00816F6C" w:rsidRPr="002C10B5" w:rsidRDefault="00816F6C" w:rsidP="00434D00">
      <w:pPr>
        <w:pStyle w:val="Notedebasdepage"/>
        <w:bidi/>
        <w:spacing w:after="240"/>
        <w:jc w:val="center"/>
        <w:rPr>
          <w:rFonts w:ascii="Traditional Arabic" w:hAnsi="Traditional Arabic" w:cs="Traditional Arabic"/>
          <w:sz w:val="28"/>
          <w:szCs w:val="28"/>
          <w:rtl/>
          <w:lang w:bidi="ar-DZ"/>
        </w:rPr>
      </w:pPr>
      <w:r w:rsidRPr="002C10B5">
        <w:rPr>
          <w:rFonts w:ascii="Traditional Arabic" w:hAnsi="Traditional Arabic" w:cs="Traditional Arabic"/>
          <w:sz w:val="28"/>
          <w:szCs w:val="28"/>
          <w:rtl/>
          <w:lang w:bidi="ar-EG"/>
        </w:rPr>
        <w:t xml:space="preserve">المصدر: </w:t>
      </w:r>
      <w:r w:rsidRPr="002C10B5">
        <w:rPr>
          <w:rFonts w:ascii="Traditional Arabic" w:hAnsi="Traditional Arabic" w:cs="Traditional Arabic"/>
          <w:sz w:val="28"/>
          <w:szCs w:val="28"/>
          <w:rtl/>
        </w:rPr>
        <w:t xml:space="preserve">تقرير المدير العام لمكتب العمل العربي: مرجع سابق، ص </w:t>
      </w:r>
      <w:r w:rsidRPr="001C1786">
        <w:rPr>
          <w:rFonts w:ascii="Traditional Arabic" w:hAnsi="Traditional Arabic" w:cs="Traditional Arabic"/>
          <w:sz w:val="24"/>
          <w:szCs w:val="24"/>
          <w:rtl/>
        </w:rPr>
        <w:t>164</w:t>
      </w:r>
      <w:r w:rsidRPr="002C10B5">
        <w:rPr>
          <w:rFonts w:ascii="Traditional Arabic" w:hAnsi="Traditional Arabic" w:cs="Traditional Arabic"/>
          <w:sz w:val="28"/>
          <w:szCs w:val="28"/>
          <w:rtl/>
          <w:lang w:bidi="ar-DZ"/>
        </w:rPr>
        <w:t>.</w:t>
      </w:r>
    </w:p>
    <w:p w:rsidR="00816F6C" w:rsidRDefault="00816F6C" w:rsidP="00816F6C">
      <w:pPr>
        <w:tabs>
          <w:tab w:val="right" w:pos="567"/>
        </w:tabs>
        <w:bidi/>
        <w:ind w:firstLine="567"/>
        <w:jc w:val="lowKashida"/>
        <w:rPr>
          <w:rFonts w:ascii="Traditional Arabic" w:hAnsi="Traditional Arabic" w:cs="Traditional Arabic"/>
          <w:sz w:val="32"/>
          <w:szCs w:val="32"/>
          <w:rtl/>
          <w:lang w:bidi="ar-EG"/>
        </w:rPr>
      </w:pPr>
      <w:r w:rsidRPr="002C10B5">
        <w:rPr>
          <w:rFonts w:ascii="Traditional Arabic" w:hAnsi="Traditional Arabic" w:cs="Traditional Arabic"/>
          <w:sz w:val="32"/>
          <w:szCs w:val="32"/>
          <w:rtl/>
          <w:lang w:bidi="ar-EG"/>
        </w:rPr>
        <w:t xml:space="preserve">وانتقلت الأزمة من الدول المتقدمة والصناعية إلى الدول </w:t>
      </w:r>
      <w:r>
        <w:rPr>
          <w:rFonts w:ascii="Traditional Arabic" w:hAnsi="Traditional Arabic" w:cs="Traditional Arabic" w:hint="cs"/>
          <w:sz w:val="32"/>
          <w:szCs w:val="32"/>
          <w:rtl/>
          <w:lang w:bidi="ar-EG"/>
        </w:rPr>
        <w:t>العربية</w:t>
      </w:r>
      <w:r w:rsidRPr="002C10B5">
        <w:rPr>
          <w:rFonts w:ascii="Traditional Arabic" w:hAnsi="Traditional Arabic" w:cs="Traditional Arabic"/>
          <w:sz w:val="32"/>
          <w:szCs w:val="32"/>
          <w:rtl/>
          <w:lang w:bidi="ar-EG"/>
        </w:rPr>
        <w:t xml:space="preserve"> المصدرة للمواد الخام، كذلك أدت توقعات حدوث كساد عالمي جديد، وتراجع الإنفاق الاستثماري في الاقتصاديات القوية الجديدة مثل الصين </w:t>
      </w:r>
      <w:r w:rsidRPr="002C10B5">
        <w:rPr>
          <w:rFonts w:ascii="Traditional Arabic" w:hAnsi="Traditional Arabic" w:cs="Traditional Arabic"/>
          <w:sz w:val="32"/>
          <w:szCs w:val="32"/>
          <w:rtl/>
          <w:lang w:bidi="ar-EG"/>
        </w:rPr>
        <w:lastRenderedPageBreak/>
        <w:t>والهند والبرازيل وروسيا إلى تراجع الطلب على الحديد والأسمنت ومواد البناء عموما</w:t>
      </w:r>
      <w:r w:rsidR="009766E9">
        <w:rPr>
          <w:rFonts w:ascii="Traditional Arabic" w:hAnsi="Traditional Arabic" w:cs="Traditional Arabic" w:hint="cs"/>
          <w:sz w:val="32"/>
          <w:szCs w:val="32"/>
          <w:rtl/>
          <w:lang w:bidi="ar-DZ"/>
        </w:rPr>
        <w:t>،</w:t>
      </w:r>
      <w:r w:rsidRPr="002C10B5">
        <w:rPr>
          <w:rFonts w:ascii="Traditional Arabic" w:hAnsi="Traditional Arabic" w:cs="Traditional Arabic"/>
          <w:sz w:val="32"/>
          <w:szCs w:val="32"/>
          <w:rtl/>
          <w:lang w:bidi="ar-EG"/>
        </w:rPr>
        <w:t xml:space="preserve"> مما أحدث فائضا مفاجئا في العرض بعد </w:t>
      </w:r>
      <w:r w:rsidR="003D7CA9">
        <w:rPr>
          <w:rFonts w:ascii="Traditional Arabic" w:hAnsi="Traditional Arabic" w:cs="Traditional Arabic" w:hint="cs"/>
          <w:sz w:val="32"/>
          <w:szCs w:val="32"/>
          <w:rtl/>
          <w:lang w:bidi="ar-EG"/>
        </w:rPr>
        <w:t>ال</w:t>
      </w:r>
      <w:r w:rsidRPr="002C10B5">
        <w:rPr>
          <w:rFonts w:ascii="Traditional Arabic" w:hAnsi="Traditional Arabic" w:cs="Traditional Arabic"/>
          <w:sz w:val="32"/>
          <w:szCs w:val="32"/>
          <w:rtl/>
          <w:lang w:bidi="ar-EG"/>
        </w:rPr>
        <w:t xml:space="preserve">ندرة. </w:t>
      </w:r>
    </w:p>
    <w:p w:rsidR="006D37C2" w:rsidRDefault="00816F6C" w:rsidP="00C45A7E">
      <w:pPr>
        <w:tabs>
          <w:tab w:val="right" w:pos="567"/>
        </w:tabs>
        <w:bidi/>
        <w:spacing w:after="120"/>
        <w:ind w:firstLine="567"/>
        <w:jc w:val="lowKashida"/>
        <w:rPr>
          <w:rFonts w:ascii="Traditional Arabic" w:hAnsi="Traditional Arabic" w:cs="Traditional Arabic"/>
          <w:sz w:val="32"/>
          <w:szCs w:val="32"/>
          <w:rtl/>
          <w:lang w:bidi="ar-EG"/>
        </w:rPr>
      </w:pPr>
      <w:r w:rsidRPr="002C10B5">
        <w:rPr>
          <w:rFonts w:ascii="Traditional Arabic" w:hAnsi="Traditional Arabic" w:cs="Traditional Arabic"/>
          <w:sz w:val="32"/>
          <w:szCs w:val="32"/>
          <w:rtl/>
          <w:lang w:bidi="ar-EG"/>
        </w:rPr>
        <w:t xml:space="preserve">ومن الواضح أن الأزمة المالية وما ارتبط بها من </w:t>
      </w:r>
      <w:r w:rsidRPr="002C10B5">
        <w:rPr>
          <w:rFonts w:ascii="Traditional Arabic" w:hAnsi="Traditional Arabic" w:cs="Traditional Arabic"/>
          <w:sz w:val="32"/>
          <w:szCs w:val="32"/>
          <w:rtl/>
          <w:lang w:bidi="ar-DZ"/>
        </w:rPr>
        <w:t>ركود</w:t>
      </w:r>
      <w:r w:rsidRPr="002C10B5">
        <w:rPr>
          <w:rFonts w:ascii="Traditional Arabic" w:hAnsi="Traditional Arabic" w:cs="Traditional Arabic"/>
          <w:sz w:val="32"/>
          <w:szCs w:val="32"/>
          <w:rtl/>
          <w:lang w:bidi="ar-EG"/>
        </w:rPr>
        <w:t xml:space="preserve"> في أسواق الدول الرأسمالية الكبرى سوف ينعكس بشكل أساسي في ا</w:t>
      </w:r>
      <w:r>
        <w:rPr>
          <w:rFonts w:ascii="Traditional Arabic" w:hAnsi="Traditional Arabic" w:cs="Traditional Arabic"/>
          <w:sz w:val="32"/>
          <w:szCs w:val="32"/>
          <w:rtl/>
          <w:lang w:bidi="ar-EG"/>
        </w:rPr>
        <w:t xml:space="preserve">نخفاض وارداتها من الدول </w:t>
      </w:r>
      <w:r>
        <w:rPr>
          <w:rFonts w:ascii="Traditional Arabic" w:hAnsi="Traditional Arabic" w:cs="Traditional Arabic" w:hint="cs"/>
          <w:sz w:val="32"/>
          <w:szCs w:val="32"/>
          <w:rtl/>
          <w:lang w:bidi="ar-EG"/>
        </w:rPr>
        <w:t>العربية</w:t>
      </w:r>
      <w:r w:rsidRPr="002C10B5">
        <w:rPr>
          <w:rFonts w:ascii="Traditional Arabic" w:hAnsi="Traditional Arabic" w:cs="Traditional Arabic"/>
          <w:sz w:val="32"/>
          <w:szCs w:val="32"/>
          <w:rtl/>
          <w:lang w:bidi="ar-EG"/>
        </w:rPr>
        <w:t xml:space="preserve">، ويزيد من حرج موقف الدول العربية اتساع انكشافها على الأسواق الخارجية، وتقدر نسبة انكشاف الاقتصاد العربي على الاقتصاد العالمي (مقاسا بنسبة التجارة الخارجية العربية إلى إجمالي الناتج المحلى للدول العربية وفقا لبيانات عام </w:t>
      </w:r>
      <w:r w:rsidRPr="002C10B5">
        <w:rPr>
          <w:rFonts w:ascii="Traditional Arabic" w:hAnsi="Traditional Arabic" w:cs="Traditional Arabic"/>
          <w:sz w:val="24"/>
          <w:szCs w:val="24"/>
          <w:rtl/>
          <w:lang w:bidi="ar-EG"/>
        </w:rPr>
        <w:t xml:space="preserve">2006 </w:t>
      </w:r>
      <w:r w:rsidRPr="002C10B5">
        <w:rPr>
          <w:rFonts w:ascii="Traditional Arabic" w:hAnsi="Traditional Arabic" w:cs="Traditional Arabic"/>
          <w:sz w:val="32"/>
          <w:szCs w:val="32"/>
          <w:rtl/>
          <w:lang w:bidi="ar-EG"/>
        </w:rPr>
        <w:t xml:space="preserve">) بحوالي </w:t>
      </w:r>
      <w:r w:rsidRPr="002C10B5">
        <w:rPr>
          <w:rFonts w:ascii="Traditional Arabic" w:hAnsi="Traditional Arabic" w:cs="Traditional Arabic"/>
          <w:sz w:val="24"/>
          <w:szCs w:val="24"/>
          <w:rtl/>
          <w:lang w:bidi="ar-EG"/>
        </w:rPr>
        <w:t>80%</w:t>
      </w:r>
      <w:r w:rsidRPr="002C10B5">
        <w:rPr>
          <w:rFonts w:ascii="Traditional Arabic" w:hAnsi="Traditional Arabic" w:cs="Traditional Arabic"/>
          <w:sz w:val="32"/>
          <w:szCs w:val="32"/>
          <w:rtl/>
          <w:lang w:bidi="ar-EG"/>
        </w:rPr>
        <w:t xml:space="preserve">، حيث بلغ حجم التجارة الخارجية العربية نحو </w:t>
      </w:r>
      <w:r w:rsidRPr="002C10B5">
        <w:rPr>
          <w:rFonts w:ascii="Traditional Arabic" w:hAnsi="Traditional Arabic" w:cs="Traditional Arabic"/>
          <w:sz w:val="24"/>
          <w:szCs w:val="24"/>
          <w:rtl/>
          <w:lang w:bidi="ar-EG"/>
        </w:rPr>
        <w:t xml:space="preserve">1032.6 </w:t>
      </w:r>
      <w:r w:rsidRPr="002C10B5">
        <w:rPr>
          <w:rFonts w:ascii="Traditional Arabic" w:hAnsi="Traditional Arabic" w:cs="Traditional Arabic"/>
          <w:sz w:val="32"/>
          <w:szCs w:val="32"/>
          <w:rtl/>
          <w:lang w:bidi="ar-EG"/>
        </w:rPr>
        <w:t xml:space="preserve">مليار دولار خلال عام </w:t>
      </w:r>
      <w:r w:rsidRPr="002C10B5">
        <w:rPr>
          <w:rFonts w:ascii="Traditional Arabic" w:hAnsi="Traditional Arabic" w:cs="Traditional Arabic"/>
          <w:sz w:val="24"/>
          <w:szCs w:val="24"/>
          <w:rtl/>
          <w:lang w:bidi="ar-EG"/>
        </w:rPr>
        <w:t>2006</w:t>
      </w:r>
      <w:r w:rsidRPr="002C10B5">
        <w:rPr>
          <w:rFonts w:ascii="Traditional Arabic" w:hAnsi="Traditional Arabic" w:cs="Traditional Arabic"/>
          <w:sz w:val="32"/>
          <w:szCs w:val="32"/>
          <w:rtl/>
          <w:lang w:bidi="ar-EG"/>
        </w:rPr>
        <w:t xml:space="preserve">، وبلغ حجم الناتج المحلى الإجمالي للدول العربية </w:t>
      </w:r>
      <w:r w:rsidRPr="002C10B5">
        <w:rPr>
          <w:rFonts w:ascii="Traditional Arabic" w:hAnsi="Traditional Arabic" w:cs="Traditional Arabic"/>
          <w:sz w:val="24"/>
          <w:szCs w:val="24"/>
          <w:rtl/>
          <w:lang w:bidi="ar-EG"/>
        </w:rPr>
        <w:t xml:space="preserve">1291.4 </w:t>
      </w:r>
      <w:r w:rsidRPr="002C10B5">
        <w:rPr>
          <w:rFonts w:ascii="Traditional Arabic" w:hAnsi="Traditional Arabic" w:cs="Traditional Arabic"/>
          <w:sz w:val="32"/>
          <w:szCs w:val="32"/>
          <w:rtl/>
          <w:lang w:bidi="ar-EG"/>
        </w:rPr>
        <w:t>مليار دولار خلال العام نفسه</w:t>
      </w:r>
      <w:r w:rsidRPr="002C10B5">
        <w:rPr>
          <w:rStyle w:val="Appelnotedebasdep"/>
          <w:rFonts w:ascii="Traditional Arabic" w:hAnsi="Traditional Arabic" w:cs="Traditional Arabic"/>
          <w:sz w:val="32"/>
          <w:szCs w:val="32"/>
          <w:rtl/>
          <w:lang w:bidi="ar-EG"/>
        </w:rPr>
        <w:footnoteReference w:id="28"/>
      </w:r>
      <w:r w:rsidRPr="002C10B5">
        <w:rPr>
          <w:rFonts w:ascii="Traditional Arabic" w:hAnsi="Traditional Arabic" w:cs="Traditional Arabic"/>
          <w:sz w:val="32"/>
          <w:szCs w:val="32"/>
          <w:rtl/>
          <w:lang w:bidi="ar-EG"/>
        </w:rPr>
        <w:t>.</w:t>
      </w:r>
    </w:p>
    <w:p w:rsidR="006D37C2" w:rsidRPr="001B7742" w:rsidRDefault="006D37C2" w:rsidP="006D37C2">
      <w:pPr>
        <w:pStyle w:val="En-tte"/>
        <w:bidi/>
        <w:spacing w:line="276" w:lineRule="auto"/>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2</w:t>
      </w:r>
      <w:r w:rsidRPr="001B7742">
        <w:rPr>
          <w:rFonts w:ascii="Traditional Arabic" w:hAnsi="Traditional Arabic" w:cs="Traditional Arabic"/>
          <w:b/>
          <w:bCs/>
          <w:sz w:val="24"/>
          <w:szCs w:val="24"/>
          <w:rtl/>
          <w:lang w:bidi="ar-DZ"/>
        </w:rPr>
        <w:t xml:space="preserve">- </w:t>
      </w:r>
      <w:r w:rsidRPr="001B7742">
        <w:rPr>
          <w:rFonts w:ascii="Traditional Arabic" w:hAnsi="Traditional Arabic" w:cs="Traditional Arabic" w:hint="cs"/>
          <w:b/>
          <w:bCs/>
          <w:sz w:val="32"/>
          <w:szCs w:val="32"/>
          <w:rtl/>
          <w:lang w:bidi="ar-EG"/>
        </w:rPr>
        <w:t xml:space="preserve">تأثير الأزمة على </w:t>
      </w:r>
      <w:r w:rsidRPr="001B7742">
        <w:rPr>
          <w:rFonts w:ascii="Traditional Arabic" w:hAnsi="Traditional Arabic" w:cs="Traditional Arabic" w:hint="cs"/>
          <w:b/>
          <w:bCs/>
          <w:sz w:val="32"/>
          <w:szCs w:val="32"/>
          <w:rtl/>
          <w:lang w:bidi="ar-DZ"/>
        </w:rPr>
        <w:t>حركة</w:t>
      </w:r>
      <w:r w:rsidRPr="001B7742">
        <w:rPr>
          <w:rFonts w:ascii="Traditional Arabic" w:hAnsi="Traditional Arabic" w:cs="Traditional Arabic"/>
          <w:b/>
          <w:bCs/>
          <w:sz w:val="32"/>
          <w:szCs w:val="32"/>
          <w:rtl/>
          <w:lang w:bidi="ar-DZ"/>
        </w:rPr>
        <w:t xml:space="preserve"> السياح</w:t>
      </w:r>
      <w:r w:rsidRPr="001B7742">
        <w:rPr>
          <w:rFonts w:ascii="Traditional Arabic" w:hAnsi="Traditional Arabic" w:cs="Traditional Arabic" w:hint="cs"/>
          <w:b/>
          <w:bCs/>
          <w:sz w:val="32"/>
          <w:szCs w:val="32"/>
          <w:rtl/>
          <w:lang w:bidi="ar-DZ"/>
        </w:rPr>
        <w:t>ة</w:t>
      </w:r>
      <w:r>
        <w:rPr>
          <w:rFonts w:ascii="Traditional Arabic" w:hAnsi="Traditional Arabic" w:cs="Traditional Arabic" w:hint="cs"/>
          <w:b/>
          <w:bCs/>
          <w:sz w:val="32"/>
          <w:szCs w:val="32"/>
          <w:rtl/>
          <w:lang w:bidi="ar-DZ"/>
        </w:rPr>
        <w:t xml:space="preserve">: </w:t>
      </w:r>
      <w:r w:rsidRPr="001B7742">
        <w:rPr>
          <w:rFonts w:ascii="Traditional Arabic" w:hAnsi="Traditional Arabic" w:cs="Traditional Arabic"/>
          <w:b/>
          <w:bCs/>
          <w:sz w:val="32"/>
          <w:szCs w:val="32"/>
          <w:rtl/>
          <w:lang w:bidi="ar-DZ"/>
        </w:rPr>
        <w:t xml:space="preserve"> </w:t>
      </w:r>
      <w:r w:rsidRPr="001B7742">
        <w:rPr>
          <w:rFonts w:ascii="Traditional Arabic" w:hAnsi="Traditional Arabic" w:cs="Traditional Arabic" w:hint="cs"/>
          <w:b/>
          <w:bCs/>
          <w:sz w:val="24"/>
          <w:szCs w:val="24"/>
          <w:rtl/>
          <w:lang w:bidi="ar-DZ"/>
        </w:rPr>
        <w:t xml:space="preserve">   </w:t>
      </w:r>
    </w:p>
    <w:p w:rsidR="005E6479" w:rsidRDefault="006D37C2" w:rsidP="005E6479">
      <w:pPr>
        <w:pStyle w:val="En-tte"/>
        <w:tabs>
          <w:tab w:val="right" w:pos="567"/>
        </w:tabs>
        <w:bidi/>
        <w:spacing w:after="240" w:line="276" w:lineRule="auto"/>
        <w:jc w:val="both"/>
        <w:rPr>
          <w:rFonts w:ascii="Traditional Arabic" w:hAnsi="Traditional Arabic" w:cs="Traditional Arabic"/>
          <w:sz w:val="32"/>
          <w:szCs w:val="32"/>
          <w:rtl/>
          <w:lang w:bidi="ar-DZ"/>
        </w:rPr>
      </w:pPr>
      <w:r w:rsidRPr="002C10B5">
        <w:rPr>
          <w:rFonts w:ascii="Traditional Arabic" w:hAnsi="Traditional Arabic" w:cs="Traditional Arabic"/>
          <w:b/>
          <w:bCs/>
          <w:sz w:val="32"/>
          <w:szCs w:val="32"/>
          <w:rtl/>
          <w:lang w:bidi="ar-DZ"/>
        </w:rPr>
        <w:t xml:space="preserve">      </w:t>
      </w:r>
      <w:r w:rsidRPr="002C10B5">
        <w:rPr>
          <w:rFonts w:ascii="Traditional Arabic" w:hAnsi="Traditional Arabic" w:cs="Traditional Arabic"/>
          <w:sz w:val="32"/>
          <w:szCs w:val="32"/>
          <w:rtl/>
          <w:lang w:bidi="ar-DZ"/>
        </w:rPr>
        <w:t xml:space="preserve"> </w:t>
      </w:r>
      <w:r w:rsidRPr="002C10B5">
        <w:rPr>
          <w:rFonts w:ascii="Traditional Arabic" w:eastAsia="Times New Roman" w:hAnsi="Traditional Arabic" w:cs="Traditional Arabic"/>
          <w:sz w:val="32"/>
          <w:szCs w:val="32"/>
          <w:rtl/>
          <w:lang w:bidi="ar-EG"/>
        </w:rPr>
        <w:t>تعرض قطاع السياح</w:t>
      </w:r>
      <w:r>
        <w:rPr>
          <w:rFonts w:ascii="Traditional Arabic" w:eastAsia="Times New Roman" w:hAnsi="Traditional Arabic" w:cs="Traditional Arabic"/>
          <w:sz w:val="32"/>
          <w:szCs w:val="32"/>
          <w:rtl/>
          <w:lang w:bidi="ar-EG"/>
        </w:rPr>
        <w:t>ة الذي يعد واحدا من أهم الدعا</w:t>
      </w:r>
      <w:r>
        <w:rPr>
          <w:rFonts w:ascii="Traditional Arabic" w:eastAsia="Times New Roman" w:hAnsi="Traditional Arabic" w:cs="Traditional Arabic" w:hint="cs"/>
          <w:sz w:val="32"/>
          <w:szCs w:val="32"/>
          <w:rtl/>
          <w:lang w:bidi="ar-EG"/>
        </w:rPr>
        <w:t>ئم</w:t>
      </w:r>
      <w:r w:rsidRPr="002C10B5">
        <w:rPr>
          <w:rFonts w:ascii="Traditional Arabic" w:eastAsia="Times New Roman" w:hAnsi="Traditional Arabic" w:cs="Traditional Arabic"/>
          <w:sz w:val="32"/>
          <w:szCs w:val="32"/>
          <w:rtl/>
          <w:lang w:bidi="ar-EG"/>
        </w:rPr>
        <w:t xml:space="preserve"> الأساسية لبعض الدول العربية متوسطة الدخل لأزمة حادة نظرا للانخفاض المتوقع في أعداد السائحين مع تفاقم الأزمة المالية</w:t>
      </w:r>
      <w:r w:rsidRPr="002C10B5">
        <w:rPr>
          <w:rStyle w:val="Appelnotedebasdep"/>
          <w:rFonts w:ascii="Traditional Arabic" w:hAnsi="Traditional Arabic" w:cs="Traditional Arabic"/>
          <w:sz w:val="32"/>
          <w:szCs w:val="32"/>
          <w:rtl/>
          <w:lang w:bidi="ar-EG"/>
        </w:rPr>
        <w:footnoteReference w:id="29"/>
      </w:r>
      <w:r w:rsidRPr="002C10B5">
        <w:rPr>
          <w:rFonts w:ascii="Traditional Arabic" w:eastAsia="Times New Roman" w:hAnsi="Traditional Arabic" w:cs="Traditional Arabic"/>
          <w:sz w:val="32"/>
          <w:szCs w:val="32"/>
          <w:rtl/>
          <w:lang w:bidi="ar-EG"/>
        </w:rPr>
        <w:t>،</w:t>
      </w:r>
      <w:r w:rsidRPr="002C10B5">
        <w:rPr>
          <w:rFonts w:ascii="Traditional Arabic" w:hAnsi="Traditional Arabic" w:cs="Traditional Arabic"/>
          <w:sz w:val="32"/>
          <w:szCs w:val="32"/>
          <w:rtl/>
          <w:lang w:bidi="ar-EG"/>
        </w:rPr>
        <w:t xml:space="preserve"> </w:t>
      </w:r>
      <w:r w:rsidRPr="002C10B5">
        <w:rPr>
          <w:rFonts w:ascii="Traditional Arabic" w:hAnsi="Traditional Arabic" w:cs="Traditional Arabic"/>
          <w:sz w:val="32"/>
          <w:szCs w:val="32"/>
          <w:rtl/>
          <w:lang w:bidi="ar-DZ"/>
        </w:rPr>
        <w:t>وظهر أثر التراجع بصورة خاصة في الأسواق التي تعتمد على السياحة من أوروبا، مثل مصر ودول شمال أفريقيا ودبي،</w:t>
      </w:r>
      <w:r w:rsidRPr="002C10B5">
        <w:rPr>
          <w:rFonts w:ascii="Traditional Arabic" w:eastAsia="Times New Roman" w:hAnsi="Traditional Arabic" w:cs="Traditional Arabic"/>
          <w:sz w:val="32"/>
          <w:szCs w:val="32"/>
          <w:rtl/>
          <w:lang w:bidi="ar-EG"/>
        </w:rPr>
        <w:t xml:space="preserve"> </w:t>
      </w:r>
      <w:r w:rsidRPr="002C10B5">
        <w:rPr>
          <w:rFonts w:ascii="Traditional Arabic" w:hAnsi="Traditional Arabic" w:cs="Traditional Arabic"/>
          <w:sz w:val="32"/>
          <w:szCs w:val="32"/>
          <w:rtl/>
          <w:lang w:bidi="ar-DZ"/>
        </w:rPr>
        <w:t xml:space="preserve">وتشير الأرقام الأولية إلى هبوط كبير يقدر بأكثر من </w:t>
      </w:r>
      <w:r w:rsidRPr="002C10B5">
        <w:rPr>
          <w:rFonts w:ascii="Traditional Arabic" w:hAnsi="Traditional Arabic" w:cs="Traditional Arabic"/>
          <w:sz w:val="24"/>
          <w:szCs w:val="24"/>
          <w:rtl/>
          <w:lang w:bidi="ar-DZ"/>
        </w:rPr>
        <w:t xml:space="preserve">20 % </w:t>
      </w:r>
      <w:r w:rsidRPr="002C10B5">
        <w:rPr>
          <w:rFonts w:ascii="Traditional Arabic" w:hAnsi="Traditional Arabic" w:cs="Traditional Arabic"/>
          <w:sz w:val="32"/>
          <w:szCs w:val="32"/>
          <w:rtl/>
          <w:lang w:bidi="ar-DZ"/>
        </w:rPr>
        <w:t xml:space="preserve">في الحركة السياحية إلى البلدان العربية في عام </w:t>
      </w:r>
      <w:r w:rsidRPr="002C10B5">
        <w:rPr>
          <w:rFonts w:ascii="Traditional Arabic" w:hAnsi="Traditional Arabic" w:cs="Traditional Arabic"/>
          <w:sz w:val="24"/>
          <w:szCs w:val="24"/>
          <w:rtl/>
          <w:lang w:bidi="ar-DZ"/>
        </w:rPr>
        <w:t>2008</w:t>
      </w:r>
      <w:r w:rsidRPr="002C10B5">
        <w:rPr>
          <w:rFonts w:ascii="Traditional Arabic" w:hAnsi="Traditional Arabic" w:cs="Traditional Arabic"/>
          <w:sz w:val="32"/>
          <w:szCs w:val="32"/>
          <w:rtl/>
          <w:lang w:bidi="ar-DZ"/>
        </w:rPr>
        <w:t>، وهو ما سينعكس على الدخل بالعملات الأجنبية من هذا القطاع المهم، وقد يأثر سلبا على قطاعات اقتصادية معتمدة على السياحة مثل النقل والفنادق، وعلى هذا الصعيد أيضا فإن الدول العربية التي بنت طاقة سياحية كبيرة ستجد نفسها مندفعة لمحاولة الاستعاضة على السائح الأجنبي بالسائح الداخلي أولا ثم بالسياحة العربية، وقد نشهد إعادة برمجة وتصميم لبعض الخدمات بحيث تصبح قادرة على تلبية حاجة السوق العربية، خاصة لو طال الركود</w:t>
      </w:r>
      <w:r w:rsidRPr="002C10B5">
        <w:rPr>
          <w:rStyle w:val="Appelnotedebasdep"/>
          <w:rFonts w:ascii="Traditional Arabic" w:hAnsi="Traditional Arabic" w:cs="Traditional Arabic"/>
          <w:sz w:val="32"/>
          <w:szCs w:val="32"/>
          <w:rtl/>
          <w:lang w:bidi="ar-DZ"/>
        </w:rPr>
        <w:footnoteReference w:id="30"/>
      </w:r>
      <w:r w:rsidRPr="002C10B5">
        <w:rPr>
          <w:rFonts w:ascii="Traditional Arabic" w:hAnsi="Traditional Arabic" w:cs="Traditional Arabic"/>
          <w:sz w:val="32"/>
          <w:szCs w:val="32"/>
          <w:rtl/>
          <w:lang w:bidi="ar-DZ"/>
        </w:rPr>
        <w:t xml:space="preserve">. وفي المقابل، ظلت السياحة مستقرة أو حققت نموا في الأردن ولبنان وسوريا، انعكاسا للتطورات ذات الخصوصية القطرية (كالتعافي من اضطرابات عام </w:t>
      </w:r>
      <w:r w:rsidRPr="002C10B5">
        <w:rPr>
          <w:rFonts w:ascii="Traditional Arabic" w:hAnsi="Traditional Arabic" w:cs="Traditional Arabic"/>
          <w:sz w:val="24"/>
          <w:szCs w:val="24"/>
          <w:rtl/>
          <w:lang w:bidi="ar-DZ"/>
        </w:rPr>
        <w:t xml:space="preserve">2007 </w:t>
      </w:r>
      <w:r w:rsidRPr="002C10B5">
        <w:rPr>
          <w:rFonts w:ascii="Traditional Arabic" w:hAnsi="Traditional Arabic" w:cs="Traditional Arabic"/>
          <w:sz w:val="32"/>
          <w:szCs w:val="32"/>
          <w:rtl/>
          <w:lang w:bidi="ar-DZ"/>
        </w:rPr>
        <w:t>في لبنان وزيادة النشاط السياحي من البلدان المجاورة المصدرة للنفط) إضافة إلى التحول الواضح عن الوجهات السياحية ذات التكلفة الأعلى</w:t>
      </w:r>
      <w:r w:rsidRPr="002C10B5">
        <w:rPr>
          <w:rStyle w:val="Appelnotedebasdep"/>
          <w:rFonts w:ascii="Traditional Arabic" w:hAnsi="Traditional Arabic" w:cs="Traditional Arabic"/>
          <w:sz w:val="32"/>
          <w:szCs w:val="32"/>
          <w:rtl/>
          <w:lang w:bidi="ar-DZ"/>
        </w:rPr>
        <w:footnoteReference w:id="31"/>
      </w:r>
      <w:r w:rsidRPr="002C10B5">
        <w:rPr>
          <w:rFonts w:ascii="Traditional Arabic" w:hAnsi="Traditional Arabic" w:cs="Traditional Arabic"/>
          <w:sz w:val="32"/>
          <w:szCs w:val="32"/>
          <w:rtl/>
          <w:lang w:bidi="ar-DZ"/>
        </w:rPr>
        <w:t xml:space="preserve">. </w:t>
      </w:r>
    </w:p>
    <w:p w:rsidR="007A69BB" w:rsidRPr="002C10B5" w:rsidRDefault="007A69BB" w:rsidP="000105B2">
      <w:pPr>
        <w:pStyle w:val="En-tte"/>
        <w:tabs>
          <w:tab w:val="right" w:pos="567"/>
        </w:tabs>
        <w:bidi/>
        <w:spacing w:after="240" w:line="276" w:lineRule="auto"/>
        <w:jc w:val="both"/>
        <w:rPr>
          <w:rFonts w:ascii="Traditional Arabic" w:hAnsi="Traditional Arabic" w:cs="Traditional Arabic"/>
          <w:sz w:val="32"/>
          <w:szCs w:val="32"/>
          <w:rtl/>
          <w:lang w:bidi="ar-EG"/>
        </w:rPr>
      </w:pPr>
    </w:p>
    <w:p w:rsidR="00361D21" w:rsidRDefault="006D37C2" w:rsidP="00405D08">
      <w:pPr>
        <w:bidi/>
        <w:spacing w:after="0"/>
        <w:jc w:val="lowKashida"/>
        <w:rPr>
          <w:rFonts w:ascii="Traditional Arabic" w:hAnsi="Traditional Arabic" w:cs="Traditional Arabic"/>
          <w:b/>
          <w:bCs/>
          <w:sz w:val="32"/>
          <w:szCs w:val="32"/>
          <w:rtl/>
          <w:lang w:bidi="ar-EG"/>
        </w:rPr>
      </w:pPr>
      <w:r>
        <w:rPr>
          <w:rFonts w:ascii="Traditional Arabic" w:hAnsi="Traditional Arabic" w:cs="Traditional Arabic" w:hint="cs"/>
          <w:b/>
          <w:bCs/>
          <w:sz w:val="24"/>
          <w:szCs w:val="24"/>
          <w:rtl/>
          <w:lang w:bidi="ar-EG"/>
        </w:rPr>
        <w:lastRenderedPageBreak/>
        <w:t>3</w:t>
      </w:r>
      <w:r w:rsidR="00361D21" w:rsidRPr="00361D21">
        <w:rPr>
          <w:rFonts w:ascii="Traditional Arabic" w:hAnsi="Traditional Arabic" w:cs="Traditional Arabic" w:hint="cs"/>
          <w:b/>
          <w:bCs/>
          <w:sz w:val="24"/>
          <w:szCs w:val="24"/>
          <w:rtl/>
          <w:lang w:bidi="ar-EG"/>
        </w:rPr>
        <w:t xml:space="preserve">- </w:t>
      </w:r>
      <w:r w:rsidR="00361D21" w:rsidRPr="00361D21">
        <w:rPr>
          <w:rFonts w:ascii="Traditional Arabic" w:hAnsi="Traditional Arabic" w:cs="Traditional Arabic" w:hint="cs"/>
          <w:b/>
          <w:bCs/>
          <w:sz w:val="32"/>
          <w:szCs w:val="32"/>
          <w:rtl/>
          <w:lang w:bidi="ar-EG"/>
        </w:rPr>
        <w:t>تأثير الأزمة على التدفقات الاستثمارية</w:t>
      </w:r>
      <w:r w:rsidR="00361D21">
        <w:rPr>
          <w:rFonts w:ascii="Traditional Arabic" w:hAnsi="Traditional Arabic" w:cs="Traditional Arabic" w:hint="cs"/>
          <w:b/>
          <w:bCs/>
          <w:sz w:val="32"/>
          <w:szCs w:val="32"/>
          <w:rtl/>
          <w:lang w:bidi="ar-EG"/>
        </w:rPr>
        <w:t xml:space="preserve">: </w:t>
      </w:r>
    </w:p>
    <w:p w:rsidR="00520720" w:rsidRPr="00AE3DF9" w:rsidRDefault="00AE3DF9" w:rsidP="00A372FF">
      <w:pPr>
        <w:tabs>
          <w:tab w:val="right" w:pos="567"/>
        </w:tabs>
        <w:bidi/>
        <w:ind w:firstLine="567"/>
        <w:jc w:val="lowKashida"/>
        <w:rPr>
          <w:rFonts w:ascii="Traditional Arabic" w:hAnsi="Traditional Arabic" w:cs="Traditional Arabic"/>
          <w:sz w:val="32"/>
          <w:szCs w:val="32"/>
          <w:rtl/>
          <w:lang w:bidi="ar-EG"/>
        </w:rPr>
      </w:pPr>
      <w:r>
        <w:rPr>
          <w:rFonts w:ascii="Traditional Arabic" w:hAnsi="Traditional Arabic" w:cs="Traditional Arabic"/>
          <w:sz w:val="32"/>
          <w:szCs w:val="32"/>
          <w:rtl/>
          <w:lang w:bidi="ar-EG"/>
        </w:rPr>
        <w:t>شهد</w:t>
      </w:r>
      <w:r w:rsidRPr="000A3A25">
        <w:rPr>
          <w:rFonts w:ascii="Traditional Arabic" w:hAnsi="Traditional Arabic" w:cs="Traditional Arabic"/>
          <w:sz w:val="32"/>
          <w:szCs w:val="32"/>
          <w:rtl/>
          <w:lang w:bidi="ar-EG"/>
        </w:rPr>
        <w:t xml:space="preserve"> </w:t>
      </w:r>
      <w:r w:rsidRPr="00096160">
        <w:rPr>
          <w:rFonts w:ascii="Traditional Arabic" w:hAnsi="Traditional Arabic" w:cs="Traditional Arabic"/>
          <w:sz w:val="32"/>
          <w:szCs w:val="32"/>
          <w:rtl/>
          <w:lang w:bidi="ar-EG"/>
        </w:rPr>
        <w:t>مناخ الاستثمار</w:t>
      </w:r>
      <w:r>
        <w:rPr>
          <w:rFonts w:ascii="Traditional Arabic" w:hAnsi="Traditional Arabic" w:cs="Traditional Arabic"/>
          <w:sz w:val="32"/>
          <w:szCs w:val="32"/>
          <w:rtl/>
          <w:lang w:bidi="ar-EG"/>
        </w:rPr>
        <w:t xml:space="preserve"> تحسنا ملحوظا </w:t>
      </w:r>
      <w:r w:rsidRPr="00096160">
        <w:rPr>
          <w:rFonts w:ascii="Traditional Arabic" w:hAnsi="Traditional Arabic" w:cs="Traditional Arabic"/>
          <w:sz w:val="32"/>
          <w:szCs w:val="32"/>
          <w:rtl/>
          <w:lang w:bidi="ar-EG"/>
        </w:rPr>
        <w:t>في الدول العربية</w:t>
      </w:r>
      <w:r w:rsidR="00F41E97">
        <w:rPr>
          <w:rFonts w:ascii="Traditional Arabic" w:hAnsi="Traditional Arabic" w:cs="Traditional Arabic" w:hint="cs"/>
          <w:sz w:val="32"/>
          <w:szCs w:val="32"/>
          <w:rtl/>
          <w:lang w:bidi="ar-EG"/>
        </w:rPr>
        <w:t>،</w:t>
      </w:r>
      <w:r w:rsidR="00F41E97">
        <w:rPr>
          <w:rFonts w:ascii="Traditional Arabic" w:hAnsi="Traditional Arabic" w:cs="Traditional Arabic"/>
          <w:sz w:val="32"/>
          <w:szCs w:val="32"/>
          <w:rtl/>
          <w:lang w:bidi="ar-EG"/>
        </w:rPr>
        <w:t xml:space="preserve"> </w:t>
      </w:r>
      <w:r w:rsidR="00F41E97">
        <w:rPr>
          <w:rFonts w:ascii="Traditional Arabic" w:hAnsi="Traditional Arabic" w:cs="Traditional Arabic" w:hint="cs"/>
          <w:sz w:val="32"/>
          <w:szCs w:val="32"/>
          <w:rtl/>
          <w:lang w:bidi="ar-EG"/>
        </w:rPr>
        <w:t xml:space="preserve">وبلغت الزيادة في </w:t>
      </w:r>
      <w:r w:rsidRPr="00096160">
        <w:rPr>
          <w:rFonts w:ascii="Traditional Arabic" w:hAnsi="Traditional Arabic" w:cs="Traditional Arabic"/>
          <w:sz w:val="32"/>
          <w:szCs w:val="32"/>
          <w:rtl/>
          <w:lang w:bidi="ar-EG"/>
        </w:rPr>
        <w:t xml:space="preserve">التدفقات الاستثمارية </w:t>
      </w:r>
      <w:r w:rsidRPr="00096160">
        <w:rPr>
          <w:rFonts w:ascii="Traditional Arabic" w:hAnsi="Traditional Arabic" w:cs="Traditional Arabic" w:hint="cs"/>
          <w:sz w:val="32"/>
          <w:szCs w:val="32"/>
          <w:rtl/>
          <w:lang w:bidi="ar-EG"/>
        </w:rPr>
        <w:t>إلى</w:t>
      </w:r>
      <w:r w:rsidRPr="00096160">
        <w:rPr>
          <w:rFonts w:ascii="Traditional Arabic" w:hAnsi="Traditional Arabic" w:cs="Traditional Arabic"/>
          <w:sz w:val="32"/>
          <w:szCs w:val="32"/>
          <w:rtl/>
          <w:lang w:bidi="ar-EG"/>
        </w:rPr>
        <w:t xml:space="preserve"> بعض الدول العربية بين عامي </w:t>
      </w:r>
      <w:r w:rsidRPr="00096160">
        <w:rPr>
          <w:rFonts w:ascii="Traditional Arabic" w:hAnsi="Traditional Arabic" w:cs="Traditional Arabic"/>
          <w:sz w:val="24"/>
          <w:szCs w:val="24"/>
          <w:rtl/>
          <w:lang w:bidi="ar-EG"/>
        </w:rPr>
        <w:t>200</w:t>
      </w:r>
      <w:r>
        <w:rPr>
          <w:rFonts w:ascii="Traditional Arabic" w:hAnsi="Traditional Arabic" w:cs="Traditional Arabic" w:hint="cs"/>
          <w:sz w:val="24"/>
          <w:szCs w:val="24"/>
          <w:rtl/>
          <w:lang w:bidi="ar-EG"/>
        </w:rPr>
        <w:t>7</w:t>
      </w:r>
      <w:r w:rsidRPr="00096160">
        <w:rPr>
          <w:rFonts w:ascii="Traditional Arabic" w:hAnsi="Traditional Arabic" w:cs="Traditional Arabic"/>
          <w:sz w:val="24"/>
          <w:szCs w:val="24"/>
          <w:rtl/>
          <w:lang w:bidi="ar-EG"/>
        </w:rPr>
        <w:t xml:space="preserve"> </w:t>
      </w:r>
      <w:r w:rsidRPr="00096160">
        <w:rPr>
          <w:rFonts w:ascii="Traditional Arabic" w:hAnsi="Traditional Arabic" w:cs="Traditional Arabic"/>
          <w:sz w:val="32"/>
          <w:szCs w:val="32"/>
          <w:rtl/>
          <w:lang w:bidi="ar-EG"/>
        </w:rPr>
        <w:t>و</w:t>
      </w:r>
      <w:r>
        <w:rPr>
          <w:rFonts w:ascii="Traditional Arabic" w:hAnsi="Traditional Arabic" w:cs="Traditional Arabic" w:hint="cs"/>
          <w:sz w:val="24"/>
          <w:szCs w:val="24"/>
          <w:rtl/>
          <w:lang w:bidi="ar-EG"/>
        </w:rPr>
        <w:t>2008</w:t>
      </w:r>
      <w:r w:rsidR="006C4626">
        <w:rPr>
          <w:rFonts w:ascii="Traditional Arabic" w:hAnsi="Traditional Arabic" w:cs="Traditional Arabic" w:hint="cs"/>
          <w:sz w:val="32"/>
          <w:szCs w:val="32"/>
          <w:rtl/>
          <w:lang w:bidi="ar-EG"/>
        </w:rPr>
        <w:t xml:space="preserve"> </w:t>
      </w:r>
      <w:r>
        <w:rPr>
          <w:rFonts w:ascii="Traditional Arabic" w:hAnsi="Traditional Arabic" w:cs="Traditional Arabic" w:hint="cs"/>
          <w:sz w:val="32"/>
          <w:szCs w:val="32"/>
          <w:rtl/>
          <w:lang w:bidi="ar-EG"/>
        </w:rPr>
        <w:t>حوالي</w:t>
      </w:r>
      <w:r w:rsidRPr="006C13C3">
        <w:rPr>
          <w:rFonts w:ascii="Traditional Arabic" w:hAnsi="Traditional Arabic" w:cs="Traditional Arabic" w:hint="cs"/>
          <w:sz w:val="24"/>
          <w:szCs w:val="24"/>
          <w:rtl/>
          <w:lang w:bidi="ar-EG"/>
        </w:rPr>
        <w:t xml:space="preserve"> 20</w:t>
      </w:r>
      <w:r w:rsidRPr="006C13C3">
        <w:rPr>
          <w:rFonts w:ascii="Traditional Arabic" w:hAnsi="Traditional Arabic" w:cs="Traditional Arabic"/>
          <w:sz w:val="24"/>
          <w:szCs w:val="24"/>
          <w:rtl/>
          <w:lang w:bidi="ar-EG"/>
        </w:rPr>
        <w:t>%</w:t>
      </w:r>
      <w:r>
        <w:rPr>
          <w:rFonts w:ascii="Traditional Arabic" w:hAnsi="Traditional Arabic" w:cs="Traditional Arabic" w:hint="cs"/>
          <w:sz w:val="32"/>
          <w:szCs w:val="32"/>
          <w:rtl/>
          <w:lang w:bidi="ar-EG"/>
        </w:rPr>
        <w:t>.</w:t>
      </w:r>
      <w:r w:rsidRPr="00096160">
        <w:rPr>
          <w:rFonts w:ascii="Traditional Arabic" w:hAnsi="Traditional Arabic" w:cs="Traditional Arabic"/>
          <w:sz w:val="32"/>
          <w:szCs w:val="32"/>
          <w:rtl/>
          <w:lang w:bidi="ar-EG"/>
        </w:rPr>
        <w:t xml:space="preserve"> وفي عام </w:t>
      </w:r>
      <w:r>
        <w:rPr>
          <w:rFonts w:ascii="Traditional Arabic" w:hAnsi="Traditional Arabic" w:cs="Traditional Arabic" w:hint="cs"/>
          <w:sz w:val="24"/>
          <w:szCs w:val="24"/>
          <w:rtl/>
          <w:lang w:bidi="ar-EG"/>
        </w:rPr>
        <w:t>2008</w:t>
      </w:r>
      <w:r w:rsidRPr="00096160">
        <w:rPr>
          <w:rFonts w:ascii="Traditional Arabic" w:hAnsi="Traditional Arabic" w:cs="Traditional Arabic"/>
          <w:sz w:val="24"/>
          <w:szCs w:val="24"/>
          <w:rtl/>
          <w:lang w:bidi="ar-EG"/>
        </w:rPr>
        <w:t xml:space="preserve"> </w:t>
      </w:r>
      <w:r w:rsidRPr="00096160">
        <w:rPr>
          <w:rFonts w:ascii="Traditional Arabic" w:hAnsi="Traditional Arabic" w:cs="Traditional Arabic"/>
          <w:sz w:val="32"/>
          <w:szCs w:val="32"/>
          <w:rtl/>
          <w:lang w:bidi="ar-EG"/>
        </w:rPr>
        <w:t xml:space="preserve">تقدمت السعودية القائمة (أنظر جدول رقم </w:t>
      </w:r>
      <w:r w:rsidR="00604554">
        <w:rPr>
          <w:rFonts w:ascii="Traditional Arabic" w:hAnsi="Traditional Arabic" w:cs="Traditional Arabic" w:hint="cs"/>
          <w:sz w:val="24"/>
          <w:szCs w:val="24"/>
          <w:rtl/>
          <w:lang w:bidi="ar-EG"/>
        </w:rPr>
        <w:t>20</w:t>
      </w:r>
      <w:r w:rsidRPr="00096160">
        <w:rPr>
          <w:rFonts w:ascii="Traditional Arabic" w:hAnsi="Traditional Arabic" w:cs="Traditional Arabic"/>
          <w:sz w:val="32"/>
          <w:szCs w:val="32"/>
          <w:rtl/>
          <w:lang w:bidi="ar-EG"/>
        </w:rPr>
        <w:t>) بتدفقات قدرها</w:t>
      </w:r>
      <w:r>
        <w:rPr>
          <w:rFonts w:ascii="Traditional Arabic" w:hAnsi="Traditional Arabic" w:cs="Traditional Arabic" w:hint="cs"/>
          <w:sz w:val="24"/>
          <w:szCs w:val="24"/>
          <w:rtl/>
          <w:lang w:bidi="ar-EG"/>
        </w:rPr>
        <w:t xml:space="preserve"> 38.2</w:t>
      </w:r>
      <w:r w:rsidRPr="00096160">
        <w:rPr>
          <w:rFonts w:ascii="Traditional Arabic" w:hAnsi="Traditional Arabic" w:cs="Traditional Arabic"/>
          <w:sz w:val="32"/>
          <w:szCs w:val="32"/>
          <w:rtl/>
          <w:lang w:bidi="ar-EG"/>
        </w:rPr>
        <w:t xml:space="preserve"> مليار دولار، وجاءت </w:t>
      </w:r>
      <w:r>
        <w:rPr>
          <w:rFonts w:ascii="Traditional Arabic" w:hAnsi="Traditional Arabic" w:cs="Traditional Arabic" w:hint="cs"/>
          <w:sz w:val="32"/>
          <w:szCs w:val="32"/>
          <w:rtl/>
          <w:lang w:bidi="ar-EG"/>
        </w:rPr>
        <w:t>الإمارات العربية المتحدة</w:t>
      </w:r>
      <w:r w:rsidRPr="00096160">
        <w:rPr>
          <w:rFonts w:ascii="Traditional Arabic" w:hAnsi="Traditional Arabic" w:cs="Traditional Arabic"/>
          <w:sz w:val="32"/>
          <w:szCs w:val="32"/>
          <w:rtl/>
          <w:lang w:bidi="ar-EG"/>
        </w:rPr>
        <w:t xml:space="preserve"> في المركز الثاني ب</w:t>
      </w:r>
      <w:r>
        <w:rPr>
          <w:rFonts w:ascii="Traditional Arabic" w:hAnsi="Traditional Arabic" w:cs="Traditional Arabic" w:hint="cs"/>
          <w:sz w:val="32"/>
          <w:szCs w:val="32"/>
          <w:rtl/>
          <w:lang w:bidi="ar-EG"/>
        </w:rPr>
        <w:t>ـ</w:t>
      </w:r>
      <w:r w:rsidRPr="00096160">
        <w:rPr>
          <w:rFonts w:ascii="Traditional Arabic" w:hAnsi="Traditional Arabic" w:cs="Traditional Arabic"/>
          <w:sz w:val="32"/>
          <w:szCs w:val="32"/>
          <w:rtl/>
          <w:lang w:bidi="ar-EG"/>
        </w:rPr>
        <w:t xml:space="preserve"> </w:t>
      </w:r>
      <w:r>
        <w:rPr>
          <w:rFonts w:ascii="Traditional Arabic" w:hAnsi="Traditional Arabic" w:cs="Traditional Arabic" w:hint="cs"/>
          <w:sz w:val="24"/>
          <w:szCs w:val="24"/>
          <w:rtl/>
          <w:lang w:bidi="ar-EG"/>
        </w:rPr>
        <w:t>13.7</w:t>
      </w:r>
      <w:r w:rsidRPr="00096160">
        <w:rPr>
          <w:rFonts w:ascii="Traditional Arabic" w:hAnsi="Traditional Arabic" w:cs="Traditional Arabic"/>
          <w:sz w:val="24"/>
          <w:szCs w:val="24"/>
          <w:rtl/>
          <w:lang w:bidi="ar-EG"/>
        </w:rPr>
        <w:t xml:space="preserve"> </w:t>
      </w:r>
      <w:r>
        <w:rPr>
          <w:rFonts w:ascii="Traditional Arabic" w:hAnsi="Traditional Arabic" w:cs="Traditional Arabic"/>
          <w:sz w:val="32"/>
          <w:szCs w:val="32"/>
          <w:rtl/>
          <w:lang w:bidi="ar-EG"/>
        </w:rPr>
        <w:t>مليار</w:t>
      </w:r>
      <w:r w:rsidR="001646AC">
        <w:rPr>
          <w:rFonts w:ascii="Traditional Arabic" w:hAnsi="Traditional Arabic" w:cs="Traditional Arabic" w:hint="cs"/>
          <w:sz w:val="32"/>
          <w:szCs w:val="32"/>
          <w:rtl/>
          <w:lang w:bidi="ar-EG"/>
        </w:rPr>
        <w:t xml:space="preserve"> </w:t>
      </w:r>
      <w:r w:rsidRPr="00096160">
        <w:rPr>
          <w:rFonts w:ascii="Traditional Arabic" w:hAnsi="Traditional Arabic" w:cs="Traditional Arabic"/>
          <w:sz w:val="32"/>
          <w:szCs w:val="32"/>
          <w:rtl/>
          <w:lang w:bidi="ar-EG"/>
        </w:rPr>
        <w:t xml:space="preserve">دولار ثم </w:t>
      </w:r>
      <w:r>
        <w:rPr>
          <w:rFonts w:ascii="Traditional Arabic" w:hAnsi="Traditional Arabic" w:cs="Traditional Arabic" w:hint="cs"/>
          <w:sz w:val="32"/>
          <w:szCs w:val="32"/>
          <w:rtl/>
          <w:lang w:bidi="ar-EG"/>
        </w:rPr>
        <w:t>مصر</w:t>
      </w:r>
      <w:r w:rsidRPr="00096160">
        <w:rPr>
          <w:rFonts w:ascii="Traditional Arabic" w:hAnsi="Traditional Arabic" w:cs="Traditional Arabic"/>
          <w:sz w:val="32"/>
          <w:szCs w:val="32"/>
          <w:rtl/>
          <w:lang w:bidi="ar-EG"/>
        </w:rPr>
        <w:t xml:space="preserve"> بـ </w:t>
      </w:r>
      <w:r>
        <w:rPr>
          <w:rFonts w:ascii="Traditional Arabic" w:hAnsi="Traditional Arabic" w:cs="Traditional Arabic" w:hint="cs"/>
          <w:sz w:val="24"/>
          <w:szCs w:val="24"/>
          <w:rtl/>
          <w:lang w:bidi="ar-EG"/>
        </w:rPr>
        <w:t>9.4</w:t>
      </w:r>
      <w:r w:rsidRPr="00096160">
        <w:rPr>
          <w:rFonts w:ascii="Traditional Arabic" w:hAnsi="Traditional Arabic" w:cs="Traditional Arabic"/>
          <w:sz w:val="24"/>
          <w:szCs w:val="24"/>
          <w:rtl/>
          <w:lang w:bidi="ar-EG"/>
        </w:rPr>
        <w:t xml:space="preserve"> </w:t>
      </w:r>
      <w:r>
        <w:rPr>
          <w:rFonts w:ascii="Traditional Arabic" w:hAnsi="Traditional Arabic" w:cs="Traditional Arabic"/>
          <w:sz w:val="32"/>
          <w:szCs w:val="32"/>
          <w:rtl/>
          <w:lang w:bidi="ar-EG"/>
        </w:rPr>
        <w:t>مليار</w:t>
      </w:r>
      <w:r w:rsidR="00A372FF">
        <w:rPr>
          <w:rFonts w:ascii="Traditional Arabic" w:hAnsi="Traditional Arabic" w:cs="Traditional Arabic" w:hint="cs"/>
          <w:sz w:val="32"/>
          <w:szCs w:val="32"/>
          <w:rtl/>
          <w:lang w:bidi="ar-EG"/>
        </w:rPr>
        <w:t xml:space="preserve"> دولار</w:t>
      </w:r>
      <w:r w:rsidRPr="00096160">
        <w:rPr>
          <w:rFonts w:ascii="Traditional Arabic" w:hAnsi="Traditional Arabic" w:cs="Traditional Arabic"/>
          <w:sz w:val="32"/>
          <w:szCs w:val="32"/>
          <w:rtl/>
          <w:lang w:bidi="ar-EG"/>
        </w:rPr>
        <w:t>.</w:t>
      </w:r>
      <w:r>
        <w:rPr>
          <w:rFonts w:ascii="Traditional Arabic" w:hAnsi="Traditional Arabic" w:cs="Traditional Arabic" w:hint="cs"/>
          <w:sz w:val="32"/>
          <w:szCs w:val="32"/>
          <w:rtl/>
          <w:lang w:bidi="ar-EG"/>
        </w:rPr>
        <w:t xml:space="preserve">  </w:t>
      </w:r>
    </w:p>
    <w:p w:rsidR="0072173C" w:rsidRPr="004E517C" w:rsidRDefault="00745183" w:rsidP="00C43AD7">
      <w:pPr>
        <w:bidi/>
        <w:spacing w:after="0" w:line="240" w:lineRule="auto"/>
        <w:rPr>
          <w:rFonts w:ascii="Traditional Arabic" w:hAnsi="Traditional Arabic" w:cs="Traditional Arabic"/>
          <w:sz w:val="24"/>
          <w:szCs w:val="24"/>
          <w:rtl/>
          <w:lang w:bidi="ar-EG"/>
        </w:rPr>
      </w:pPr>
      <w:r w:rsidRPr="00745183">
        <w:rPr>
          <w:rFonts w:ascii="Traditional Arabic" w:hAnsi="Traditional Arabic" w:cs="Traditional Arabic"/>
          <w:noProof/>
          <w:sz w:val="28"/>
          <w:szCs w:val="28"/>
          <w:rtl/>
        </w:rPr>
        <w:pict>
          <v:rect id="_x0000_s1118" style="position:absolute;left:0;text-align:left;margin-left:-8.45pt;margin-top:19.9pt;width:100.9pt;height:26.35pt;z-index:251707392" strokecolor="white [3212]">
            <v:textbox style="mso-next-textbox:#_x0000_s1118">
              <w:txbxContent>
                <w:p w:rsidR="00205648" w:rsidRPr="00C43AD7" w:rsidRDefault="00205648" w:rsidP="00C43AD7">
                  <w:pPr>
                    <w:rPr>
                      <w:sz w:val="28"/>
                      <w:szCs w:val="28"/>
                    </w:rPr>
                  </w:pPr>
                  <w:r w:rsidRPr="00C43AD7">
                    <w:rPr>
                      <w:rFonts w:ascii="Traditional Arabic" w:hAnsi="Traditional Arabic" w:cs="Traditional Arabic" w:hint="cs"/>
                      <w:sz w:val="28"/>
                      <w:szCs w:val="28"/>
                      <w:rtl/>
                      <w:lang w:bidi="ar-EG"/>
                    </w:rPr>
                    <w:t>(</w:t>
                  </w:r>
                  <w:r w:rsidRPr="00C43AD7">
                    <w:rPr>
                      <w:rFonts w:ascii="Traditional Arabic" w:hAnsi="Traditional Arabic" w:cs="Traditional Arabic"/>
                      <w:sz w:val="28"/>
                      <w:szCs w:val="28"/>
                      <w:rtl/>
                      <w:lang w:bidi="ar-EG"/>
                    </w:rPr>
                    <w:t>مليون دولار أمريكي</w:t>
                  </w:r>
                  <w:r w:rsidRPr="00C43AD7">
                    <w:rPr>
                      <w:rFonts w:ascii="Traditional Arabic" w:hAnsi="Traditional Arabic" w:cs="Traditional Arabic" w:hint="cs"/>
                      <w:sz w:val="28"/>
                      <w:szCs w:val="28"/>
                      <w:rtl/>
                      <w:lang w:bidi="ar-EG"/>
                    </w:rPr>
                    <w:t>)</w:t>
                  </w:r>
                </w:p>
                <w:p w:rsidR="00205648" w:rsidRDefault="00205648"/>
                <w:tbl>
                  <w:tblPr>
                    <w:bidiVisual/>
                    <w:tblW w:w="0" w:type="auto"/>
                    <w:tblInd w:w="-6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9"/>
                    <w:gridCol w:w="1985"/>
                    <w:gridCol w:w="2138"/>
                  </w:tblGrid>
                  <w:tr w:rsidR="00205648" w:rsidRPr="00A953B6" w:rsidTr="008A6233">
                    <w:trPr>
                      <w:trHeight w:val="593"/>
                    </w:trPr>
                    <w:tc>
                      <w:tcPr>
                        <w:tcW w:w="2409" w:type="dxa"/>
                        <w:tcBorders>
                          <w:top w:val="single" w:sz="4" w:space="0" w:color="auto"/>
                          <w:left w:val="single" w:sz="4" w:space="0" w:color="auto"/>
                          <w:bottom w:val="single" w:sz="4" w:space="0" w:color="auto"/>
                          <w:right w:val="single" w:sz="4" w:space="0" w:color="auto"/>
                          <w:tr2bl w:val="single" w:sz="4" w:space="0" w:color="auto"/>
                        </w:tcBorders>
                        <w:vAlign w:val="center"/>
                        <w:hideMark/>
                      </w:tcPr>
                      <w:p w:rsidR="00205648" w:rsidRPr="00A953B6" w:rsidRDefault="00205648" w:rsidP="008A6233">
                        <w:pPr>
                          <w:bidi/>
                          <w:spacing w:after="0" w:line="240" w:lineRule="auto"/>
                          <w:jc w:val="center"/>
                          <w:rPr>
                            <w:rFonts w:ascii="Traditional Arabic" w:eastAsia="Times New Roman" w:hAnsi="Traditional Arabic" w:cs="Traditional Arabic"/>
                            <w:sz w:val="28"/>
                            <w:szCs w:val="28"/>
                            <w:rtl/>
                            <w:lang w:val="en-US" w:eastAsia="en-US" w:bidi="ar-EG"/>
                          </w:rPr>
                        </w:pPr>
                        <w:r>
                          <w:rPr>
                            <w:rFonts w:ascii="Traditional Arabic" w:hAnsi="Traditional Arabic" w:cs="Traditional Arabic" w:hint="cs"/>
                            <w:sz w:val="28"/>
                            <w:szCs w:val="28"/>
                            <w:rtl/>
                            <w:lang w:bidi="ar-EG"/>
                          </w:rPr>
                          <w:t xml:space="preserve">                   </w:t>
                        </w:r>
                        <w:r w:rsidRPr="00A953B6">
                          <w:rPr>
                            <w:rFonts w:ascii="Traditional Arabic" w:hAnsi="Traditional Arabic" w:cs="Traditional Arabic"/>
                            <w:sz w:val="28"/>
                            <w:szCs w:val="28"/>
                            <w:rtl/>
                            <w:lang w:bidi="ar-EG"/>
                          </w:rPr>
                          <w:t>السنة</w:t>
                        </w:r>
                      </w:p>
                      <w:p w:rsidR="00205648" w:rsidRPr="00A953B6" w:rsidRDefault="00205648" w:rsidP="008A6233">
                        <w:pPr>
                          <w:bidi/>
                          <w:spacing w:after="0" w:line="240" w:lineRule="auto"/>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الدولة</w:t>
                        </w:r>
                        <w:r>
                          <w:rPr>
                            <w:rFonts w:ascii="Traditional Arabic" w:hAnsi="Traditional Arabic" w:cs="Traditional Arabic" w:hint="cs"/>
                            <w:sz w:val="28"/>
                            <w:szCs w:val="28"/>
                            <w:rtl/>
                            <w:lang w:bidi="ar-EG"/>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2007</w:t>
                        </w:r>
                      </w:p>
                    </w:tc>
                    <w:tc>
                      <w:tcPr>
                        <w:tcW w:w="2138" w:type="dxa"/>
                        <w:tcBorders>
                          <w:top w:val="single" w:sz="4" w:space="0" w:color="auto"/>
                          <w:left w:val="single" w:sz="4" w:space="0" w:color="auto"/>
                          <w:bottom w:val="single" w:sz="4" w:space="0" w:color="auto"/>
                          <w:right w:val="single" w:sz="4" w:space="0" w:color="auto"/>
                        </w:tcBorders>
                        <w:vAlign w:val="center"/>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sidRPr="00F4723F">
                          <w:rPr>
                            <w:rFonts w:ascii="Traditional Arabic" w:hAnsi="Traditional Arabic" w:cs="Traditional Arabic"/>
                            <w:sz w:val="24"/>
                            <w:szCs w:val="24"/>
                            <w:rtl/>
                            <w:lang w:bidi="ar-EG"/>
                          </w:rPr>
                          <w:t>200</w:t>
                        </w:r>
                        <w:r>
                          <w:rPr>
                            <w:rFonts w:ascii="Traditional Arabic" w:hAnsi="Traditional Arabic" w:cs="Traditional Arabic" w:hint="cs"/>
                            <w:sz w:val="24"/>
                            <w:szCs w:val="24"/>
                            <w:rtl/>
                            <w:lang w:bidi="ar-EG"/>
                          </w:rPr>
                          <w:t>8</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الجزائر</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1662</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2646</w:t>
                        </w:r>
                      </w:p>
                    </w:tc>
                  </w:tr>
                  <w:tr w:rsidR="00205648" w:rsidRPr="00A953B6" w:rsidTr="008A6233">
                    <w:trPr>
                      <w:trHeight w:val="372"/>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مصر</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11578</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9495</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ليبيا</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4689</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4111</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المغرب</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2803</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2388</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السودان</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2436</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2601</w:t>
                        </w:r>
                      </w:p>
                    </w:tc>
                  </w:tr>
                  <w:tr w:rsidR="00205648" w:rsidRPr="00A953B6" w:rsidTr="008A6233">
                    <w:trPr>
                      <w:trHeight w:val="372"/>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تونس</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1618</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2761</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البحرين</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1756</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1794</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العراق</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485</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488</w:t>
                        </w:r>
                      </w:p>
                    </w:tc>
                  </w:tr>
                  <w:tr w:rsidR="00205648" w:rsidRPr="00A953B6" w:rsidTr="008A6233">
                    <w:trPr>
                      <w:trHeight w:val="372"/>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الأردن</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1950</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1954</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الكويت</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123</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56</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لبنان</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2731</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3606</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عمان</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3125</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2928</w:t>
                        </w:r>
                      </w:p>
                    </w:tc>
                  </w:tr>
                  <w:tr w:rsidR="00205648" w:rsidRPr="00A953B6" w:rsidTr="008A6233">
                    <w:trPr>
                      <w:trHeight w:val="372"/>
                    </w:trPr>
                    <w:tc>
                      <w:tcPr>
                        <w:tcW w:w="2409" w:type="dxa"/>
                        <w:tcBorders>
                          <w:top w:val="single" w:sz="4" w:space="0" w:color="auto"/>
                          <w:left w:val="single" w:sz="4" w:space="0" w:color="auto"/>
                          <w:bottom w:val="single" w:sz="4" w:space="0" w:color="auto"/>
                          <w:right w:val="single" w:sz="4" w:space="0" w:color="auto"/>
                        </w:tcBorders>
                        <w:hideMark/>
                      </w:tcPr>
                      <w:p w:rsidR="00205648" w:rsidRDefault="00205648" w:rsidP="008A6233">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فلسطين</w:t>
                        </w:r>
                      </w:p>
                    </w:tc>
                    <w:tc>
                      <w:tcPr>
                        <w:tcW w:w="1985" w:type="dxa"/>
                        <w:tcBorders>
                          <w:top w:val="single" w:sz="4" w:space="0" w:color="auto"/>
                          <w:left w:val="single" w:sz="4" w:space="0" w:color="auto"/>
                          <w:bottom w:val="single" w:sz="4" w:space="0" w:color="auto"/>
                          <w:right w:val="single" w:sz="4" w:space="0" w:color="auto"/>
                        </w:tcBorders>
                      </w:tcPr>
                      <w:p w:rsidR="00205648"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28</w:t>
                        </w:r>
                      </w:p>
                    </w:tc>
                    <w:tc>
                      <w:tcPr>
                        <w:tcW w:w="2138" w:type="dxa"/>
                        <w:tcBorders>
                          <w:top w:val="single" w:sz="4" w:space="0" w:color="auto"/>
                          <w:left w:val="single" w:sz="4" w:space="0" w:color="auto"/>
                          <w:bottom w:val="single" w:sz="4" w:space="0" w:color="auto"/>
                          <w:right w:val="single" w:sz="4" w:space="0" w:color="auto"/>
                        </w:tcBorders>
                        <w:hideMark/>
                      </w:tcPr>
                      <w:p w:rsidR="00205648" w:rsidRDefault="00205648" w:rsidP="008A6233">
                        <w:pPr>
                          <w:bidi/>
                          <w:spacing w:after="0" w:line="240" w:lineRule="auto"/>
                          <w:jc w:val="center"/>
                          <w:rPr>
                            <w:rFonts w:ascii="Traditional Arabic" w:hAnsi="Traditional Arabic" w:cs="Traditional Arabic"/>
                            <w:sz w:val="24"/>
                            <w:szCs w:val="24"/>
                            <w:rtl/>
                            <w:lang w:val="en-US" w:eastAsia="en-US" w:bidi="ar-EG"/>
                          </w:rPr>
                        </w:pPr>
                        <w:r>
                          <w:rPr>
                            <w:rFonts w:ascii="Traditional Arabic" w:hAnsi="Traditional Arabic" w:cs="Traditional Arabic" w:hint="cs"/>
                            <w:sz w:val="24"/>
                            <w:szCs w:val="24"/>
                            <w:rtl/>
                            <w:lang w:val="en-US" w:eastAsia="en-US" w:bidi="ar-EG"/>
                          </w:rPr>
                          <w:t>29</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Default="00205648" w:rsidP="008A6233">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قطر</w:t>
                        </w:r>
                      </w:p>
                    </w:tc>
                    <w:tc>
                      <w:tcPr>
                        <w:tcW w:w="1985" w:type="dxa"/>
                        <w:tcBorders>
                          <w:top w:val="single" w:sz="4" w:space="0" w:color="auto"/>
                          <w:left w:val="single" w:sz="4" w:space="0" w:color="auto"/>
                          <w:bottom w:val="single" w:sz="4" w:space="0" w:color="auto"/>
                          <w:right w:val="single" w:sz="4" w:space="0" w:color="auto"/>
                        </w:tcBorders>
                      </w:tcPr>
                      <w:p w:rsidR="00205648"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4700</w:t>
                        </w:r>
                      </w:p>
                    </w:tc>
                    <w:tc>
                      <w:tcPr>
                        <w:tcW w:w="2138" w:type="dxa"/>
                        <w:tcBorders>
                          <w:top w:val="single" w:sz="4" w:space="0" w:color="auto"/>
                          <w:left w:val="single" w:sz="4" w:space="0" w:color="auto"/>
                          <w:bottom w:val="single" w:sz="4" w:space="0" w:color="auto"/>
                          <w:right w:val="single" w:sz="4" w:space="0" w:color="auto"/>
                        </w:tcBorders>
                        <w:hideMark/>
                      </w:tcPr>
                      <w:p w:rsidR="00205648" w:rsidRDefault="00205648" w:rsidP="008A6233">
                        <w:pPr>
                          <w:bidi/>
                          <w:spacing w:after="0" w:line="240" w:lineRule="auto"/>
                          <w:jc w:val="center"/>
                          <w:rPr>
                            <w:rFonts w:ascii="Traditional Arabic" w:hAnsi="Traditional Arabic" w:cs="Traditional Arabic"/>
                            <w:sz w:val="24"/>
                            <w:szCs w:val="24"/>
                            <w:rtl/>
                            <w:lang w:val="en-US" w:eastAsia="en-US" w:bidi="ar-EG"/>
                          </w:rPr>
                        </w:pPr>
                        <w:r>
                          <w:rPr>
                            <w:rFonts w:ascii="Traditional Arabic" w:hAnsi="Traditional Arabic" w:cs="Traditional Arabic" w:hint="cs"/>
                            <w:sz w:val="24"/>
                            <w:szCs w:val="24"/>
                            <w:rtl/>
                            <w:lang w:val="en-US" w:eastAsia="en-US" w:bidi="ar-EG"/>
                          </w:rPr>
                          <w:t>6700</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Pr>
                            <w:rFonts w:ascii="Traditional Arabic" w:hAnsi="Traditional Arabic" w:cs="Traditional Arabic" w:hint="cs"/>
                            <w:sz w:val="28"/>
                            <w:szCs w:val="28"/>
                            <w:rtl/>
                            <w:lang w:bidi="ar-EG"/>
                          </w:rPr>
                          <w:t xml:space="preserve">المملكة العربية </w:t>
                        </w:r>
                        <w:r w:rsidRPr="00A953B6">
                          <w:rPr>
                            <w:rFonts w:ascii="Traditional Arabic" w:hAnsi="Traditional Arabic" w:cs="Traditional Arabic"/>
                            <w:sz w:val="28"/>
                            <w:szCs w:val="28"/>
                            <w:rtl/>
                            <w:lang w:bidi="ar-EG"/>
                          </w:rPr>
                          <w:t>السعودية</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24318</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38223</w:t>
                        </w:r>
                      </w:p>
                    </w:tc>
                  </w:tr>
                  <w:tr w:rsidR="00205648" w:rsidRPr="00A953B6" w:rsidTr="008A6233">
                    <w:trPr>
                      <w:trHeight w:val="372"/>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سوريا</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1242</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2116</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الإمارات</w:t>
                        </w:r>
                        <w:r>
                          <w:rPr>
                            <w:rFonts w:ascii="Traditional Arabic" w:hAnsi="Traditional Arabic" w:cs="Traditional Arabic" w:hint="cs"/>
                            <w:sz w:val="28"/>
                            <w:szCs w:val="28"/>
                            <w:rtl/>
                            <w:lang w:bidi="ar-DZ"/>
                          </w:rPr>
                          <w:t xml:space="preserve"> العربية المتحدة</w:t>
                        </w:r>
                        <w:r>
                          <w:rPr>
                            <w:rFonts w:ascii="Traditional Arabic" w:hAnsi="Traditional Arabic" w:cs="Traditional Arabic" w:hint="cs"/>
                            <w:sz w:val="28"/>
                            <w:szCs w:val="28"/>
                            <w:rtl/>
                            <w:lang w:bidi="ar-EG"/>
                          </w:rPr>
                          <w:t xml:space="preserve"> </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14187</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13700</w:t>
                        </w:r>
                      </w:p>
                    </w:tc>
                  </w:tr>
                  <w:tr w:rsidR="00205648" w:rsidRPr="00A953B6" w:rsidTr="008A6233">
                    <w:trPr>
                      <w:trHeight w:val="385"/>
                    </w:trPr>
                    <w:tc>
                      <w:tcPr>
                        <w:tcW w:w="2409" w:type="dxa"/>
                        <w:tcBorders>
                          <w:top w:val="single" w:sz="4" w:space="0" w:color="auto"/>
                          <w:left w:val="single" w:sz="4" w:space="0" w:color="auto"/>
                          <w:bottom w:val="single" w:sz="4" w:space="0" w:color="auto"/>
                          <w:right w:val="single" w:sz="4" w:space="0" w:color="auto"/>
                        </w:tcBorders>
                        <w:hideMark/>
                      </w:tcPr>
                      <w:p w:rsidR="00205648" w:rsidRPr="00A953B6" w:rsidRDefault="00205648" w:rsidP="008A6233">
                        <w:pPr>
                          <w:bidi/>
                          <w:spacing w:after="0" w:line="240" w:lineRule="auto"/>
                          <w:jc w:val="lowKashida"/>
                          <w:rPr>
                            <w:rFonts w:ascii="Traditional Arabic" w:hAnsi="Traditional Arabic" w:cs="Traditional Arabic"/>
                            <w:sz w:val="28"/>
                            <w:szCs w:val="28"/>
                            <w:lang w:val="en-US" w:eastAsia="en-US" w:bidi="ar-EG"/>
                          </w:rPr>
                        </w:pPr>
                        <w:r>
                          <w:rPr>
                            <w:rFonts w:ascii="Traditional Arabic" w:hAnsi="Traditional Arabic" w:cs="Traditional Arabic" w:hint="cs"/>
                            <w:sz w:val="28"/>
                            <w:szCs w:val="28"/>
                            <w:rtl/>
                            <w:lang w:bidi="ar-EG"/>
                          </w:rPr>
                          <w:t>اليمن</w:t>
                        </w:r>
                      </w:p>
                    </w:tc>
                    <w:tc>
                      <w:tcPr>
                        <w:tcW w:w="1985" w:type="dxa"/>
                        <w:tcBorders>
                          <w:top w:val="single" w:sz="4" w:space="0" w:color="auto"/>
                          <w:left w:val="single" w:sz="4" w:space="0" w:color="auto"/>
                          <w:bottom w:val="single" w:sz="4" w:space="0" w:color="auto"/>
                          <w:right w:val="single" w:sz="4" w:space="0" w:color="auto"/>
                        </w:tcBorders>
                      </w:tcPr>
                      <w:p w:rsidR="00205648" w:rsidRPr="00F4723F" w:rsidRDefault="00205648" w:rsidP="008A6233">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917</w:t>
                        </w:r>
                      </w:p>
                    </w:tc>
                    <w:tc>
                      <w:tcPr>
                        <w:tcW w:w="2138" w:type="dxa"/>
                        <w:tcBorders>
                          <w:top w:val="single" w:sz="4" w:space="0" w:color="auto"/>
                          <w:left w:val="single" w:sz="4" w:space="0" w:color="auto"/>
                          <w:bottom w:val="single" w:sz="4" w:space="0" w:color="auto"/>
                          <w:right w:val="single" w:sz="4" w:space="0" w:color="auto"/>
                        </w:tcBorders>
                        <w:hideMark/>
                      </w:tcPr>
                      <w:p w:rsidR="00205648" w:rsidRPr="00F4723F" w:rsidRDefault="00205648" w:rsidP="008A6233">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463</w:t>
                        </w:r>
                      </w:p>
                    </w:tc>
                  </w:tr>
                </w:tbl>
                <w:p w:rsidR="00205648" w:rsidRPr="00C43AD7" w:rsidRDefault="00205648" w:rsidP="00C43AD7">
                  <w:pPr>
                    <w:rPr>
                      <w:sz w:val="28"/>
                      <w:szCs w:val="28"/>
                    </w:rPr>
                  </w:pPr>
                  <w:r w:rsidRPr="00C43AD7">
                    <w:rPr>
                      <w:rFonts w:ascii="Traditional Arabic" w:hAnsi="Traditional Arabic" w:cs="Traditional Arabic" w:hint="cs"/>
                      <w:sz w:val="28"/>
                      <w:szCs w:val="28"/>
                      <w:rtl/>
                      <w:lang w:bidi="ar-EG"/>
                    </w:rPr>
                    <w:t xml:space="preserve"> (</w:t>
                  </w:r>
                  <w:r w:rsidRPr="00C43AD7">
                    <w:rPr>
                      <w:rFonts w:ascii="Traditional Arabic" w:hAnsi="Traditional Arabic" w:cs="Traditional Arabic"/>
                      <w:sz w:val="28"/>
                      <w:szCs w:val="28"/>
                      <w:rtl/>
                      <w:lang w:bidi="ar-EG"/>
                    </w:rPr>
                    <w:t>مليون دولار أمريكي</w:t>
                  </w:r>
                  <w:r w:rsidRPr="00C43AD7">
                    <w:rPr>
                      <w:rFonts w:ascii="Traditional Arabic" w:hAnsi="Traditional Arabic" w:cs="Traditional Arabic" w:hint="cs"/>
                      <w:sz w:val="28"/>
                      <w:szCs w:val="28"/>
                      <w:rtl/>
                      <w:lang w:bidi="ar-EG"/>
                    </w:rPr>
                    <w:t>)</w:t>
                  </w:r>
                </w:p>
              </w:txbxContent>
            </v:textbox>
          </v:rect>
        </w:pict>
      </w:r>
      <w:r w:rsidR="00604554">
        <w:rPr>
          <w:rFonts w:ascii="Traditional Arabic" w:hAnsi="Traditional Arabic" w:cs="Traditional Arabic" w:hint="cs"/>
          <w:sz w:val="32"/>
          <w:szCs w:val="32"/>
          <w:rtl/>
          <w:lang w:bidi="ar-EG"/>
        </w:rPr>
        <w:t>ال</w:t>
      </w:r>
      <w:r w:rsidR="0072173C" w:rsidRPr="0041055F">
        <w:rPr>
          <w:rFonts w:ascii="Traditional Arabic" w:hAnsi="Traditional Arabic" w:cs="Traditional Arabic"/>
          <w:sz w:val="32"/>
          <w:szCs w:val="32"/>
          <w:rtl/>
          <w:lang w:bidi="ar-EG"/>
        </w:rPr>
        <w:t xml:space="preserve">جدول رقم </w:t>
      </w:r>
      <w:r w:rsidR="00604554" w:rsidRPr="00604554">
        <w:rPr>
          <w:rFonts w:ascii="Traditional Arabic" w:hAnsi="Traditional Arabic" w:cs="Traditional Arabic" w:hint="cs"/>
          <w:sz w:val="24"/>
          <w:szCs w:val="24"/>
          <w:rtl/>
          <w:lang w:bidi="ar-EG"/>
        </w:rPr>
        <w:t>20</w:t>
      </w:r>
      <w:r w:rsidR="0072173C" w:rsidRPr="0041055F">
        <w:rPr>
          <w:rFonts w:ascii="Traditional Arabic" w:hAnsi="Traditional Arabic" w:cs="Traditional Arabic" w:hint="cs"/>
          <w:sz w:val="32"/>
          <w:szCs w:val="32"/>
          <w:rtl/>
          <w:lang w:bidi="ar-EG"/>
        </w:rPr>
        <w:t xml:space="preserve">: </w:t>
      </w:r>
      <w:r w:rsidR="0072173C" w:rsidRPr="0041055F">
        <w:rPr>
          <w:rFonts w:ascii="Traditional Arabic" w:hAnsi="Traditional Arabic" w:cs="Traditional Arabic"/>
          <w:sz w:val="32"/>
          <w:szCs w:val="32"/>
          <w:rtl/>
          <w:lang w:bidi="ar-EG"/>
        </w:rPr>
        <w:t xml:space="preserve">تدفقات الاستثمارات الأجنبية </w:t>
      </w:r>
      <w:r w:rsidR="0072173C" w:rsidRPr="0041055F">
        <w:rPr>
          <w:rFonts w:ascii="Traditional Arabic" w:hAnsi="Traditional Arabic" w:cs="Traditional Arabic" w:hint="cs"/>
          <w:sz w:val="32"/>
          <w:szCs w:val="32"/>
          <w:rtl/>
          <w:lang w:bidi="ar-EG"/>
        </w:rPr>
        <w:t>المباشرة في ا</w:t>
      </w:r>
      <w:r w:rsidR="0072173C" w:rsidRPr="0041055F">
        <w:rPr>
          <w:rFonts w:ascii="Traditional Arabic" w:hAnsi="Traditional Arabic" w:cs="Traditional Arabic"/>
          <w:sz w:val="32"/>
          <w:szCs w:val="32"/>
          <w:rtl/>
          <w:lang w:bidi="ar-EG"/>
        </w:rPr>
        <w:t xml:space="preserve">لدول </w:t>
      </w:r>
      <w:r w:rsidR="0072173C" w:rsidRPr="0041055F">
        <w:rPr>
          <w:rFonts w:ascii="Traditional Arabic" w:hAnsi="Traditional Arabic" w:cs="Traditional Arabic" w:hint="cs"/>
          <w:sz w:val="32"/>
          <w:szCs w:val="32"/>
          <w:rtl/>
          <w:lang w:bidi="ar-EG"/>
        </w:rPr>
        <w:t>ال</w:t>
      </w:r>
      <w:r w:rsidR="0072173C" w:rsidRPr="0041055F">
        <w:rPr>
          <w:rFonts w:ascii="Traditional Arabic" w:hAnsi="Traditional Arabic" w:cs="Traditional Arabic"/>
          <w:sz w:val="32"/>
          <w:szCs w:val="32"/>
          <w:rtl/>
          <w:lang w:bidi="ar-EG"/>
        </w:rPr>
        <w:t>عربية</w:t>
      </w:r>
      <w:r w:rsidR="00C5459A">
        <w:rPr>
          <w:rFonts w:ascii="Traditional Arabic" w:hAnsi="Traditional Arabic" w:cs="Traditional Arabic" w:hint="cs"/>
          <w:sz w:val="32"/>
          <w:szCs w:val="32"/>
          <w:rtl/>
          <w:lang w:bidi="ar-EG"/>
        </w:rPr>
        <w:t xml:space="preserve"> خلال الفترة </w:t>
      </w:r>
      <w:r w:rsidR="00C43AD7" w:rsidRPr="00C43AD7">
        <w:rPr>
          <w:rFonts w:ascii="Traditional Arabic" w:hAnsi="Traditional Arabic" w:cs="Traditional Arabic" w:hint="cs"/>
          <w:sz w:val="24"/>
          <w:szCs w:val="24"/>
          <w:rtl/>
          <w:lang w:bidi="ar-EG"/>
        </w:rPr>
        <w:t>2007-2008</w:t>
      </w:r>
      <w:r w:rsidR="0072173C" w:rsidRPr="00C43AD7">
        <w:rPr>
          <w:rFonts w:ascii="Traditional Arabic" w:hAnsi="Traditional Arabic" w:cs="Traditional Arabic" w:hint="cs"/>
          <w:rtl/>
          <w:lang w:bidi="ar-EG"/>
        </w:rPr>
        <w:t xml:space="preserve"> </w:t>
      </w:r>
    </w:p>
    <w:tbl>
      <w:tblPr>
        <w:bidiVisual/>
        <w:tblW w:w="0" w:type="auto"/>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148"/>
        <w:gridCol w:w="2138"/>
      </w:tblGrid>
      <w:tr w:rsidR="00520720" w:rsidRPr="00A953B6" w:rsidTr="008A6233">
        <w:trPr>
          <w:trHeight w:val="593"/>
        </w:trPr>
        <w:tc>
          <w:tcPr>
            <w:tcW w:w="2246" w:type="dxa"/>
            <w:tcBorders>
              <w:top w:val="single" w:sz="4" w:space="0" w:color="auto"/>
              <w:left w:val="single" w:sz="4" w:space="0" w:color="auto"/>
              <w:bottom w:val="single" w:sz="4" w:space="0" w:color="auto"/>
              <w:right w:val="single" w:sz="4" w:space="0" w:color="auto"/>
              <w:tr2bl w:val="single" w:sz="4" w:space="0" w:color="auto"/>
            </w:tcBorders>
            <w:vAlign w:val="center"/>
            <w:hideMark/>
          </w:tcPr>
          <w:p w:rsidR="00520720" w:rsidRPr="00A953B6" w:rsidRDefault="00520720" w:rsidP="00727890">
            <w:pPr>
              <w:bidi/>
              <w:spacing w:after="0" w:line="240" w:lineRule="auto"/>
              <w:jc w:val="center"/>
              <w:rPr>
                <w:rFonts w:ascii="Traditional Arabic" w:eastAsia="Times New Roman" w:hAnsi="Traditional Arabic" w:cs="Traditional Arabic"/>
                <w:sz w:val="28"/>
                <w:szCs w:val="28"/>
                <w:rtl/>
                <w:lang w:val="en-US" w:eastAsia="en-US" w:bidi="ar-EG"/>
              </w:rPr>
            </w:pPr>
            <w:r>
              <w:rPr>
                <w:rFonts w:ascii="Traditional Arabic" w:hAnsi="Traditional Arabic" w:cs="Traditional Arabic" w:hint="cs"/>
                <w:sz w:val="28"/>
                <w:szCs w:val="28"/>
                <w:rtl/>
                <w:lang w:bidi="ar-EG"/>
              </w:rPr>
              <w:t xml:space="preserve">                   </w:t>
            </w:r>
            <w:r w:rsidRPr="00A953B6">
              <w:rPr>
                <w:rFonts w:ascii="Traditional Arabic" w:hAnsi="Traditional Arabic" w:cs="Traditional Arabic"/>
                <w:sz w:val="28"/>
                <w:szCs w:val="28"/>
                <w:rtl/>
                <w:lang w:bidi="ar-EG"/>
              </w:rPr>
              <w:t>السنة</w:t>
            </w:r>
          </w:p>
          <w:p w:rsidR="00520720" w:rsidRPr="00A953B6" w:rsidRDefault="00520720" w:rsidP="00727890">
            <w:pPr>
              <w:bidi/>
              <w:spacing w:after="0" w:line="240" w:lineRule="auto"/>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الدولة</w:t>
            </w:r>
            <w:r>
              <w:rPr>
                <w:rFonts w:ascii="Traditional Arabic" w:hAnsi="Traditional Arabic" w:cs="Traditional Arabic" w:hint="cs"/>
                <w:sz w:val="28"/>
                <w:szCs w:val="28"/>
                <w:rtl/>
                <w:lang w:bidi="ar-EG"/>
              </w:rPr>
              <w:t xml:space="preserve"> </w:t>
            </w:r>
          </w:p>
        </w:tc>
        <w:tc>
          <w:tcPr>
            <w:tcW w:w="2148" w:type="dxa"/>
            <w:tcBorders>
              <w:top w:val="single" w:sz="4" w:space="0" w:color="auto"/>
              <w:left w:val="single" w:sz="4" w:space="0" w:color="auto"/>
              <w:bottom w:val="single" w:sz="4" w:space="0" w:color="auto"/>
              <w:right w:val="single" w:sz="4" w:space="0" w:color="auto"/>
            </w:tcBorders>
            <w:vAlign w:val="center"/>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2007</w:t>
            </w:r>
          </w:p>
        </w:tc>
        <w:tc>
          <w:tcPr>
            <w:tcW w:w="2138" w:type="dxa"/>
            <w:tcBorders>
              <w:top w:val="single" w:sz="4" w:space="0" w:color="auto"/>
              <w:left w:val="single" w:sz="4" w:space="0" w:color="auto"/>
              <w:bottom w:val="single" w:sz="4" w:space="0" w:color="auto"/>
              <w:right w:val="single" w:sz="4" w:space="0" w:color="auto"/>
            </w:tcBorders>
            <w:vAlign w:val="center"/>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sidRPr="00F4723F">
              <w:rPr>
                <w:rFonts w:ascii="Traditional Arabic" w:hAnsi="Traditional Arabic" w:cs="Traditional Arabic"/>
                <w:sz w:val="24"/>
                <w:szCs w:val="24"/>
                <w:rtl/>
                <w:lang w:bidi="ar-EG"/>
              </w:rPr>
              <w:t>200</w:t>
            </w:r>
            <w:r>
              <w:rPr>
                <w:rFonts w:ascii="Traditional Arabic" w:hAnsi="Traditional Arabic" w:cs="Traditional Arabic" w:hint="cs"/>
                <w:sz w:val="24"/>
                <w:szCs w:val="24"/>
                <w:rtl/>
                <w:lang w:bidi="ar-EG"/>
              </w:rPr>
              <w:t>8</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الجزائر</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1662</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2646</w:t>
            </w:r>
          </w:p>
        </w:tc>
      </w:tr>
      <w:tr w:rsidR="00520720" w:rsidRPr="00A953B6" w:rsidTr="008A6233">
        <w:trPr>
          <w:trHeight w:val="372"/>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مصر</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11578</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9495</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ليبيا</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4689</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4111</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المغرب</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2803</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2388</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السودان</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2436</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2601</w:t>
            </w:r>
          </w:p>
        </w:tc>
      </w:tr>
      <w:tr w:rsidR="00520720" w:rsidRPr="00A953B6" w:rsidTr="008A6233">
        <w:trPr>
          <w:trHeight w:val="372"/>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تونس</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1618</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2761</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البحرين</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1756</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1794</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العراق</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485</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488</w:t>
            </w:r>
          </w:p>
        </w:tc>
      </w:tr>
      <w:tr w:rsidR="00520720" w:rsidRPr="00A953B6" w:rsidTr="008A6233">
        <w:trPr>
          <w:trHeight w:val="372"/>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الأردن</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1950</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1954</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الكويت</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123</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56</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لبنان</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2731</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3606</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عمان</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3125</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2928</w:t>
            </w:r>
          </w:p>
        </w:tc>
      </w:tr>
      <w:tr w:rsidR="00520720" w:rsidRPr="00A953B6" w:rsidTr="008A6233">
        <w:trPr>
          <w:trHeight w:val="372"/>
        </w:trPr>
        <w:tc>
          <w:tcPr>
            <w:tcW w:w="2246" w:type="dxa"/>
            <w:tcBorders>
              <w:top w:val="single" w:sz="4" w:space="0" w:color="auto"/>
              <w:left w:val="single" w:sz="4" w:space="0" w:color="auto"/>
              <w:bottom w:val="single" w:sz="4" w:space="0" w:color="auto"/>
              <w:right w:val="single" w:sz="4" w:space="0" w:color="auto"/>
            </w:tcBorders>
            <w:hideMark/>
          </w:tcPr>
          <w:p w:rsidR="00520720" w:rsidRDefault="00520720" w:rsidP="00727890">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فلسطين</w:t>
            </w:r>
          </w:p>
        </w:tc>
        <w:tc>
          <w:tcPr>
            <w:tcW w:w="2148" w:type="dxa"/>
            <w:tcBorders>
              <w:top w:val="single" w:sz="4" w:space="0" w:color="auto"/>
              <w:left w:val="single" w:sz="4" w:space="0" w:color="auto"/>
              <w:bottom w:val="single" w:sz="4" w:space="0" w:color="auto"/>
              <w:right w:val="single" w:sz="4" w:space="0" w:color="auto"/>
            </w:tcBorders>
          </w:tcPr>
          <w:p w:rsidR="00520720"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28</w:t>
            </w:r>
          </w:p>
        </w:tc>
        <w:tc>
          <w:tcPr>
            <w:tcW w:w="2138" w:type="dxa"/>
            <w:tcBorders>
              <w:top w:val="single" w:sz="4" w:space="0" w:color="auto"/>
              <w:left w:val="single" w:sz="4" w:space="0" w:color="auto"/>
              <w:bottom w:val="single" w:sz="4" w:space="0" w:color="auto"/>
              <w:right w:val="single" w:sz="4" w:space="0" w:color="auto"/>
            </w:tcBorders>
            <w:hideMark/>
          </w:tcPr>
          <w:p w:rsidR="00520720" w:rsidRDefault="00520720" w:rsidP="00727890">
            <w:pPr>
              <w:bidi/>
              <w:spacing w:after="0" w:line="240" w:lineRule="auto"/>
              <w:jc w:val="center"/>
              <w:rPr>
                <w:rFonts w:ascii="Traditional Arabic" w:hAnsi="Traditional Arabic" w:cs="Traditional Arabic"/>
                <w:sz w:val="24"/>
                <w:szCs w:val="24"/>
                <w:rtl/>
                <w:lang w:val="en-US" w:eastAsia="en-US" w:bidi="ar-EG"/>
              </w:rPr>
            </w:pPr>
            <w:r>
              <w:rPr>
                <w:rFonts w:ascii="Traditional Arabic" w:hAnsi="Traditional Arabic" w:cs="Traditional Arabic" w:hint="cs"/>
                <w:sz w:val="24"/>
                <w:szCs w:val="24"/>
                <w:rtl/>
                <w:lang w:val="en-US" w:eastAsia="en-US" w:bidi="ar-EG"/>
              </w:rPr>
              <w:t>29</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Default="00520720" w:rsidP="00727890">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قطر</w:t>
            </w:r>
          </w:p>
        </w:tc>
        <w:tc>
          <w:tcPr>
            <w:tcW w:w="2148" w:type="dxa"/>
            <w:tcBorders>
              <w:top w:val="single" w:sz="4" w:space="0" w:color="auto"/>
              <w:left w:val="single" w:sz="4" w:space="0" w:color="auto"/>
              <w:bottom w:val="single" w:sz="4" w:space="0" w:color="auto"/>
              <w:right w:val="single" w:sz="4" w:space="0" w:color="auto"/>
            </w:tcBorders>
          </w:tcPr>
          <w:p w:rsidR="00520720"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4700</w:t>
            </w:r>
          </w:p>
        </w:tc>
        <w:tc>
          <w:tcPr>
            <w:tcW w:w="2138" w:type="dxa"/>
            <w:tcBorders>
              <w:top w:val="single" w:sz="4" w:space="0" w:color="auto"/>
              <w:left w:val="single" w:sz="4" w:space="0" w:color="auto"/>
              <w:bottom w:val="single" w:sz="4" w:space="0" w:color="auto"/>
              <w:right w:val="single" w:sz="4" w:space="0" w:color="auto"/>
            </w:tcBorders>
            <w:hideMark/>
          </w:tcPr>
          <w:p w:rsidR="00520720" w:rsidRDefault="00520720" w:rsidP="00727890">
            <w:pPr>
              <w:bidi/>
              <w:spacing w:after="0" w:line="240" w:lineRule="auto"/>
              <w:jc w:val="center"/>
              <w:rPr>
                <w:rFonts w:ascii="Traditional Arabic" w:hAnsi="Traditional Arabic" w:cs="Traditional Arabic"/>
                <w:sz w:val="24"/>
                <w:szCs w:val="24"/>
                <w:rtl/>
                <w:lang w:val="en-US" w:eastAsia="en-US" w:bidi="ar-EG"/>
              </w:rPr>
            </w:pPr>
            <w:r>
              <w:rPr>
                <w:rFonts w:ascii="Traditional Arabic" w:hAnsi="Traditional Arabic" w:cs="Traditional Arabic" w:hint="cs"/>
                <w:sz w:val="24"/>
                <w:szCs w:val="24"/>
                <w:rtl/>
                <w:lang w:val="en-US" w:eastAsia="en-US" w:bidi="ar-EG"/>
              </w:rPr>
              <w:t>6700</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Pr>
                <w:rFonts w:ascii="Traditional Arabic" w:hAnsi="Traditional Arabic" w:cs="Traditional Arabic" w:hint="cs"/>
                <w:sz w:val="28"/>
                <w:szCs w:val="28"/>
                <w:rtl/>
                <w:lang w:bidi="ar-EG"/>
              </w:rPr>
              <w:t xml:space="preserve">المملكة العربية </w:t>
            </w:r>
            <w:r w:rsidRPr="00A953B6">
              <w:rPr>
                <w:rFonts w:ascii="Traditional Arabic" w:hAnsi="Traditional Arabic" w:cs="Traditional Arabic"/>
                <w:sz w:val="28"/>
                <w:szCs w:val="28"/>
                <w:rtl/>
                <w:lang w:bidi="ar-EG"/>
              </w:rPr>
              <w:t>السعودية</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24318</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38223</w:t>
            </w:r>
          </w:p>
        </w:tc>
      </w:tr>
      <w:tr w:rsidR="00520720" w:rsidRPr="00A953B6" w:rsidTr="008A6233">
        <w:trPr>
          <w:trHeight w:val="372"/>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سوريا</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1242</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2116</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sidRPr="00A953B6">
              <w:rPr>
                <w:rFonts w:ascii="Traditional Arabic" w:hAnsi="Traditional Arabic" w:cs="Traditional Arabic"/>
                <w:sz w:val="28"/>
                <w:szCs w:val="28"/>
                <w:rtl/>
                <w:lang w:bidi="ar-EG"/>
              </w:rPr>
              <w:t>الإمارات</w:t>
            </w:r>
            <w:r>
              <w:rPr>
                <w:rFonts w:ascii="Traditional Arabic" w:hAnsi="Traditional Arabic" w:cs="Traditional Arabic" w:hint="cs"/>
                <w:sz w:val="28"/>
                <w:szCs w:val="28"/>
                <w:rtl/>
                <w:lang w:bidi="ar-DZ"/>
              </w:rPr>
              <w:t xml:space="preserve"> العربية المتحدة</w:t>
            </w:r>
            <w:r>
              <w:rPr>
                <w:rFonts w:ascii="Traditional Arabic" w:hAnsi="Traditional Arabic" w:cs="Traditional Arabic" w:hint="cs"/>
                <w:sz w:val="28"/>
                <w:szCs w:val="28"/>
                <w:rtl/>
                <w:lang w:bidi="ar-EG"/>
              </w:rPr>
              <w:t xml:space="preserve"> </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14187</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13700</w:t>
            </w:r>
          </w:p>
        </w:tc>
      </w:tr>
      <w:tr w:rsidR="00520720" w:rsidRPr="00A953B6" w:rsidTr="008A6233">
        <w:trPr>
          <w:trHeight w:val="385"/>
        </w:trPr>
        <w:tc>
          <w:tcPr>
            <w:tcW w:w="2246" w:type="dxa"/>
            <w:tcBorders>
              <w:top w:val="single" w:sz="4" w:space="0" w:color="auto"/>
              <w:left w:val="single" w:sz="4" w:space="0" w:color="auto"/>
              <w:bottom w:val="single" w:sz="4" w:space="0" w:color="auto"/>
              <w:right w:val="single" w:sz="4" w:space="0" w:color="auto"/>
            </w:tcBorders>
            <w:hideMark/>
          </w:tcPr>
          <w:p w:rsidR="00520720" w:rsidRPr="00A953B6" w:rsidRDefault="00520720" w:rsidP="00727890">
            <w:pPr>
              <w:bidi/>
              <w:spacing w:after="0" w:line="240" w:lineRule="auto"/>
              <w:jc w:val="lowKashida"/>
              <w:rPr>
                <w:rFonts w:ascii="Traditional Arabic" w:hAnsi="Traditional Arabic" w:cs="Traditional Arabic"/>
                <w:sz w:val="28"/>
                <w:szCs w:val="28"/>
                <w:lang w:val="en-US" w:eastAsia="en-US" w:bidi="ar-EG"/>
              </w:rPr>
            </w:pPr>
            <w:r>
              <w:rPr>
                <w:rFonts w:ascii="Traditional Arabic" w:hAnsi="Traditional Arabic" w:cs="Traditional Arabic" w:hint="cs"/>
                <w:sz w:val="28"/>
                <w:szCs w:val="28"/>
                <w:rtl/>
                <w:lang w:bidi="ar-EG"/>
              </w:rPr>
              <w:t>اليمن</w:t>
            </w:r>
          </w:p>
        </w:tc>
        <w:tc>
          <w:tcPr>
            <w:tcW w:w="2148" w:type="dxa"/>
            <w:tcBorders>
              <w:top w:val="single" w:sz="4" w:space="0" w:color="auto"/>
              <w:left w:val="single" w:sz="4" w:space="0" w:color="auto"/>
              <w:bottom w:val="single" w:sz="4" w:space="0" w:color="auto"/>
              <w:right w:val="single" w:sz="4" w:space="0" w:color="auto"/>
            </w:tcBorders>
          </w:tcPr>
          <w:p w:rsidR="00520720" w:rsidRPr="00F4723F" w:rsidRDefault="00520720" w:rsidP="00727890">
            <w:pPr>
              <w:bidi/>
              <w:spacing w:after="0" w:line="240" w:lineRule="auto"/>
              <w:jc w:val="center"/>
              <w:rPr>
                <w:rFonts w:ascii="Traditional Arabic" w:hAnsi="Traditional Arabic" w:cs="Traditional Arabic"/>
                <w:sz w:val="24"/>
                <w:szCs w:val="24"/>
                <w:rtl/>
                <w:lang w:bidi="ar-EG"/>
              </w:rPr>
            </w:pPr>
            <w:r>
              <w:rPr>
                <w:rFonts w:ascii="Traditional Arabic" w:hAnsi="Traditional Arabic" w:cs="Traditional Arabic" w:hint="cs"/>
                <w:sz w:val="24"/>
                <w:szCs w:val="24"/>
                <w:rtl/>
                <w:lang w:bidi="ar-EG"/>
              </w:rPr>
              <w:t>917</w:t>
            </w:r>
          </w:p>
        </w:tc>
        <w:tc>
          <w:tcPr>
            <w:tcW w:w="2138" w:type="dxa"/>
            <w:tcBorders>
              <w:top w:val="single" w:sz="4" w:space="0" w:color="auto"/>
              <w:left w:val="single" w:sz="4" w:space="0" w:color="auto"/>
              <w:bottom w:val="single" w:sz="4" w:space="0" w:color="auto"/>
              <w:right w:val="single" w:sz="4" w:space="0" w:color="auto"/>
            </w:tcBorders>
            <w:hideMark/>
          </w:tcPr>
          <w:p w:rsidR="00520720" w:rsidRPr="00F4723F" w:rsidRDefault="00520720" w:rsidP="00727890">
            <w:pPr>
              <w:bidi/>
              <w:spacing w:after="0" w:line="240" w:lineRule="auto"/>
              <w:jc w:val="center"/>
              <w:rPr>
                <w:rFonts w:ascii="Traditional Arabic" w:hAnsi="Traditional Arabic" w:cs="Traditional Arabic"/>
                <w:sz w:val="24"/>
                <w:szCs w:val="24"/>
                <w:lang w:val="en-US" w:eastAsia="en-US" w:bidi="ar-EG"/>
              </w:rPr>
            </w:pPr>
            <w:r>
              <w:rPr>
                <w:rFonts w:ascii="Traditional Arabic" w:hAnsi="Traditional Arabic" w:cs="Traditional Arabic" w:hint="cs"/>
                <w:sz w:val="24"/>
                <w:szCs w:val="24"/>
                <w:rtl/>
                <w:lang w:val="en-US" w:eastAsia="en-US" w:bidi="ar-EG"/>
              </w:rPr>
              <w:t>463</w:t>
            </w:r>
          </w:p>
        </w:tc>
      </w:tr>
    </w:tbl>
    <w:p w:rsidR="00AF4B88" w:rsidRPr="0041055F" w:rsidRDefault="007D6D9B" w:rsidP="004E517C">
      <w:pPr>
        <w:tabs>
          <w:tab w:val="right" w:pos="9072"/>
        </w:tabs>
        <w:spacing w:after="0"/>
        <w:rPr>
          <w:rFonts w:asciiTheme="majorBidi" w:hAnsiTheme="majorBidi" w:cstheme="majorBidi"/>
          <w:sz w:val="20"/>
          <w:szCs w:val="20"/>
          <w:lang w:val="en-US" w:bidi="ar-EG"/>
        </w:rPr>
      </w:pPr>
      <w:r w:rsidRPr="0041055F">
        <w:rPr>
          <w:rFonts w:asciiTheme="majorBidi" w:hAnsiTheme="majorBidi" w:cstheme="majorBidi"/>
          <w:sz w:val="20"/>
          <w:szCs w:val="20"/>
          <w:lang w:val="en-US" w:bidi="ar-EG"/>
        </w:rPr>
        <w:t xml:space="preserve"> </w:t>
      </w:r>
      <w:r w:rsidR="0041055F">
        <w:rPr>
          <w:rFonts w:asciiTheme="majorBidi" w:hAnsiTheme="majorBidi" w:cstheme="majorBidi"/>
          <w:sz w:val="20"/>
          <w:szCs w:val="20"/>
          <w:lang w:val="en-US" w:bidi="ar-EG"/>
        </w:rPr>
        <w:t>Source</w:t>
      </w:r>
      <w:r w:rsidR="0072173C" w:rsidRPr="0041055F">
        <w:rPr>
          <w:rFonts w:asciiTheme="majorBidi" w:hAnsiTheme="majorBidi" w:cstheme="majorBidi"/>
          <w:sz w:val="20"/>
          <w:szCs w:val="20"/>
          <w:lang w:val="en-US" w:bidi="ar-EG"/>
        </w:rPr>
        <w:t>: World Investment Report</w:t>
      </w:r>
      <w:r w:rsidR="003C695F">
        <w:rPr>
          <w:rFonts w:asciiTheme="majorBidi" w:hAnsiTheme="majorBidi" w:cstheme="majorBidi" w:hint="cs"/>
          <w:sz w:val="20"/>
          <w:szCs w:val="20"/>
          <w:rtl/>
          <w:lang w:val="en-US" w:bidi="ar-EG"/>
        </w:rPr>
        <w:t xml:space="preserve"> </w:t>
      </w:r>
      <w:r w:rsidR="00AF4B88" w:rsidRPr="0041055F">
        <w:rPr>
          <w:rFonts w:asciiTheme="majorBidi" w:hAnsiTheme="majorBidi" w:cstheme="majorBidi"/>
          <w:sz w:val="20"/>
          <w:szCs w:val="20"/>
          <w:lang w:val="en-US" w:bidi="ar-EG"/>
        </w:rPr>
        <w:t>2009</w:t>
      </w:r>
      <w:r w:rsidR="00222CFC" w:rsidRPr="0041055F">
        <w:rPr>
          <w:rFonts w:asciiTheme="majorBidi" w:hAnsiTheme="majorBidi" w:cstheme="majorBidi"/>
          <w:sz w:val="20"/>
          <w:szCs w:val="20"/>
          <w:lang w:val="en-US" w:bidi="ar-EG"/>
        </w:rPr>
        <w:t>,</w:t>
      </w:r>
      <w:r w:rsidRPr="0041055F">
        <w:rPr>
          <w:rFonts w:asciiTheme="majorBidi" w:hAnsiTheme="majorBidi" w:cstheme="majorBidi"/>
          <w:sz w:val="20"/>
          <w:szCs w:val="20"/>
          <w:lang w:val="en-US" w:bidi="ar-EG"/>
        </w:rPr>
        <w:t xml:space="preserve"> transnational corporations, agricultural production and development, </w:t>
      </w:r>
    </w:p>
    <w:p w:rsidR="00C41268" w:rsidRPr="0041055F" w:rsidRDefault="00AF4B88" w:rsidP="004E517C">
      <w:pPr>
        <w:tabs>
          <w:tab w:val="left" w:pos="709"/>
          <w:tab w:val="left" w:pos="851"/>
          <w:tab w:val="right" w:pos="9072"/>
        </w:tabs>
        <w:spacing w:after="0"/>
        <w:rPr>
          <w:rFonts w:asciiTheme="majorBidi" w:hAnsiTheme="majorBidi" w:cstheme="majorBidi"/>
          <w:sz w:val="20"/>
          <w:szCs w:val="20"/>
          <w:lang w:val="en-US" w:bidi="ar-EG"/>
        </w:rPr>
      </w:pPr>
      <w:r w:rsidRPr="0041055F">
        <w:rPr>
          <w:rFonts w:asciiTheme="majorBidi" w:hAnsiTheme="majorBidi" w:cstheme="majorBidi"/>
          <w:sz w:val="20"/>
          <w:szCs w:val="20"/>
          <w:lang w:val="en-US" w:bidi="ar-EG"/>
        </w:rPr>
        <w:t xml:space="preserve">            </w:t>
      </w:r>
      <w:r w:rsidR="0041055F">
        <w:rPr>
          <w:rFonts w:asciiTheme="majorBidi" w:hAnsiTheme="majorBidi" w:cstheme="majorBidi"/>
          <w:sz w:val="20"/>
          <w:szCs w:val="20"/>
          <w:lang w:val="en-US" w:bidi="ar-EG"/>
        </w:rPr>
        <w:t xml:space="preserve"> </w:t>
      </w:r>
      <w:r w:rsidR="00F90649">
        <w:rPr>
          <w:rFonts w:asciiTheme="majorBidi" w:hAnsiTheme="majorBidi" w:cstheme="majorBidi"/>
          <w:sz w:val="20"/>
          <w:szCs w:val="20"/>
          <w:lang w:val="en-US" w:bidi="ar-EG"/>
        </w:rPr>
        <w:t xml:space="preserve">  </w:t>
      </w:r>
      <w:r w:rsidRPr="0041055F">
        <w:rPr>
          <w:rFonts w:asciiTheme="majorBidi" w:hAnsiTheme="majorBidi" w:cstheme="majorBidi"/>
          <w:sz w:val="20"/>
          <w:szCs w:val="20"/>
          <w:lang w:val="en-US" w:bidi="ar-EG"/>
        </w:rPr>
        <w:t>U</w:t>
      </w:r>
      <w:r w:rsidR="007D6D9B" w:rsidRPr="0041055F">
        <w:rPr>
          <w:rFonts w:asciiTheme="majorBidi" w:hAnsiTheme="majorBidi" w:cstheme="majorBidi"/>
          <w:sz w:val="20"/>
          <w:szCs w:val="20"/>
          <w:lang w:val="en-US" w:bidi="ar-EG"/>
        </w:rPr>
        <w:t xml:space="preserve">nited </w:t>
      </w:r>
      <w:r w:rsidRPr="0041055F">
        <w:rPr>
          <w:rFonts w:asciiTheme="majorBidi" w:hAnsiTheme="majorBidi" w:cstheme="majorBidi"/>
          <w:sz w:val="20"/>
          <w:szCs w:val="20"/>
          <w:lang w:val="en-US" w:bidi="ar-EG"/>
        </w:rPr>
        <w:t>N</w:t>
      </w:r>
      <w:r w:rsidR="007D6D9B" w:rsidRPr="0041055F">
        <w:rPr>
          <w:rFonts w:asciiTheme="majorBidi" w:hAnsiTheme="majorBidi" w:cstheme="majorBidi"/>
          <w:sz w:val="20"/>
          <w:szCs w:val="20"/>
          <w:lang w:val="en-US" w:bidi="ar-EG"/>
        </w:rPr>
        <w:t>ations conference on trade and development, New York and Geneva, 2009,</w:t>
      </w:r>
      <w:r w:rsidR="00C41268" w:rsidRPr="0041055F">
        <w:rPr>
          <w:rFonts w:asciiTheme="majorBidi" w:hAnsiTheme="majorBidi" w:cstheme="majorBidi"/>
          <w:sz w:val="20"/>
          <w:szCs w:val="20"/>
          <w:lang w:val="en-US" w:bidi="ar-EG"/>
        </w:rPr>
        <w:t xml:space="preserve"> p247.</w:t>
      </w:r>
    </w:p>
    <w:p w:rsidR="0072173C" w:rsidRPr="004E517C" w:rsidRDefault="00AF4B88" w:rsidP="004E517C">
      <w:pPr>
        <w:tabs>
          <w:tab w:val="right" w:pos="9072"/>
        </w:tabs>
        <w:spacing w:after="0"/>
        <w:rPr>
          <w:rFonts w:asciiTheme="majorBidi" w:hAnsiTheme="majorBidi" w:cstheme="majorBidi"/>
          <w:sz w:val="20"/>
          <w:szCs w:val="20"/>
          <w:rtl/>
          <w:lang w:val="en-US" w:bidi="ar-EG"/>
        </w:rPr>
      </w:pPr>
      <w:r w:rsidRPr="0041055F">
        <w:rPr>
          <w:rFonts w:asciiTheme="majorBidi" w:hAnsiTheme="majorBidi" w:cstheme="majorBidi"/>
          <w:sz w:val="20"/>
          <w:szCs w:val="20"/>
          <w:lang w:val="en-US" w:bidi="ar-EG"/>
        </w:rPr>
        <w:t xml:space="preserve">               </w:t>
      </w:r>
      <w:r w:rsidR="00501E54">
        <w:rPr>
          <w:rFonts w:asciiTheme="majorBidi" w:hAnsiTheme="majorBidi" w:cstheme="majorBidi"/>
          <w:sz w:val="20"/>
          <w:szCs w:val="20"/>
          <w:lang w:val="en-US" w:bidi="ar-EG"/>
        </w:rPr>
        <w:t>Ibid</w:t>
      </w:r>
      <w:r w:rsidR="00C41268" w:rsidRPr="0041055F">
        <w:rPr>
          <w:rFonts w:asciiTheme="majorBidi" w:hAnsiTheme="majorBidi" w:cstheme="majorBidi"/>
          <w:sz w:val="20"/>
          <w:szCs w:val="20"/>
          <w:lang w:val="en-US" w:bidi="ar-EG"/>
        </w:rPr>
        <w:t>, p</w:t>
      </w:r>
      <w:r w:rsidR="0006258E">
        <w:rPr>
          <w:rFonts w:asciiTheme="majorBidi" w:hAnsiTheme="majorBidi" w:cstheme="majorBidi"/>
          <w:sz w:val="20"/>
          <w:szCs w:val="20"/>
          <w:lang w:val="en-US" w:bidi="ar-EG"/>
        </w:rPr>
        <w:t xml:space="preserve"> </w:t>
      </w:r>
      <w:r w:rsidR="00C41268" w:rsidRPr="0041055F">
        <w:rPr>
          <w:rFonts w:asciiTheme="majorBidi" w:hAnsiTheme="majorBidi" w:cstheme="majorBidi"/>
          <w:sz w:val="20"/>
          <w:szCs w:val="20"/>
          <w:lang w:val="en-US" w:bidi="ar-EG"/>
        </w:rPr>
        <w:t>249.</w:t>
      </w:r>
      <w:r w:rsidRPr="0041055F">
        <w:rPr>
          <w:rFonts w:asciiTheme="majorBidi" w:hAnsiTheme="majorBidi" w:cstheme="majorBidi"/>
          <w:sz w:val="20"/>
          <w:szCs w:val="20"/>
          <w:lang w:val="en-US" w:bidi="ar-EG"/>
        </w:rPr>
        <w:t xml:space="preserve"> </w:t>
      </w:r>
      <w:r w:rsidR="0072173C" w:rsidRPr="0041055F">
        <w:rPr>
          <w:rFonts w:asciiTheme="majorBidi" w:hAnsiTheme="majorBidi" w:cstheme="majorBidi"/>
          <w:sz w:val="20"/>
          <w:szCs w:val="20"/>
          <w:rtl/>
          <w:lang w:bidi="ar-EG"/>
        </w:rPr>
        <w:tab/>
      </w:r>
    </w:p>
    <w:p w:rsidR="00520720" w:rsidRPr="00520720" w:rsidRDefault="00520720" w:rsidP="0041055F">
      <w:pPr>
        <w:tabs>
          <w:tab w:val="right" w:pos="567"/>
          <w:tab w:val="right" w:pos="8361"/>
        </w:tabs>
        <w:bidi/>
        <w:jc w:val="both"/>
        <w:rPr>
          <w:rFonts w:ascii="Traditional Arabic" w:hAnsi="Traditional Arabic" w:cs="Traditional Arabic"/>
          <w:sz w:val="32"/>
          <w:szCs w:val="32"/>
          <w:rtl/>
          <w:lang w:bidi="ar-DZ"/>
        </w:rPr>
      </w:pPr>
      <w:r w:rsidRPr="00096160">
        <w:rPr>
          <w:rFonts w:ascii="Traditional Arabic" w:hAnsi="Traditional Arabic" w:cs="Traditional Arabic"/>
          <w:sz w:val="32"/>
          <w:szCs w:val="32"/>
          <w:rtl/>
          <w:lang w:bidi="ar-DZ"/>
        </w:rPr>
        <w:t xml:space="preserve">       </w:t>
      </w:r>
      <w:r w:rsidR="004A722D">
        <w:rPr>
          <w:rFonts w:ascii="Traditional Arabic" w:hAnsi="Traditional Arabic" w:cs="Traditional Arabic" w:hint="cs"/>
          <w:sz w:val="32"/>
          <w:szCs w:val="32"/>
          <w:rtl/>
          <w:lang w:bidi="ar-DZ"/>
        </w:rPr>
        <w:t xml:space="preserve">فاندلاع الأزمة المالية أدى إلى </w:t>
      </w:r>
      <w:r w:rsidRPr="00096160">
        <w:rPr>
          <w:rFonts w:ascii="Traditional Arabic" w:hAnsi="Traditional Arabic" w:cs="Traditional Arabic"/>
          <w:sz w:val="32"/>
          <w:szCs w:val="32"/>
          <w:rtl/>
          <w:lang w:bidi="ar-DZ"/>
        </w:rPr>
        <w:t xml:space="preserve">تراجع في التدفقات الاستثمارية سواء الآتية من أقطار الفائض المالي في العالم العربي أو من الدول الأجنبية، يعود من جهة إلى أزمة السيولة وتراجع إمكانات التمويل، كما يعود إلى </w:t>
      </w:r>
      <w:r w:rsidRPr="00096160">
        <w:rPr>
          <w:rFonts w:ascii="Traditional Arabic" w:hAnsi="Traditional Arabic" w:cs="Traditional Arabic"/>
          <w:sz w:val="32"/>
          <w:szCs w:val="32"/>
          <w:rtl/>
          <w:lang w:bidi="ar-DZ"/>
        </w:rPr>
        <w:lastRenderedPageBreak/>
        <w:t>حالة الركود السائدة وتريث المستثمرين في إطلاق مشاريع جديدة إلا في حالات معينة تكون فيها الجدوى مضمونة كما هي الحال في استثمارات البني التحتية أو قطاع المواصلات والنقل والمصالح العامة (ال</w:t>
      </w:r>
      <w:r>
        <w:rPr>
          <w:rFonts w:ascii="Traditional Arabic" w:hAnsi="Traditional Arabic" w:cs="Traditional Arabic"/>
          <w:sz w:val="32"/>
          <w:szCs w:val="32"/>
          <w:rtl/>
          <w:lang w:bidi="ar-DZ"/>
        </w:rPr>
        <w:t>مياه، الكهرباء، الهاتف والصحة..</w:t>
      </w:r>
      <w:r w:rsidRPr="00096160">
        <w:rPr>
          <w:rFonts w:ascii="Traditional Arabic" w:hAnsi="Traditional Arabic" w:cs="Traditional Arabic"/>
          <w:sz w:val="32"/>
          <w:szCs w:val="32"/>
          <w:rtl/>
          <w:lang w:bidi="ar-DZ"/>
        </w:rPr>
        <w:t xml:space="preserve">.). ومن المؤكد أن تراجع حركة الاستثمار </w:t>
      </w:r>
      <w:r>
        <w:rPr>
          <w:rFonts w:ascii="Traditional Arabic" w:hAnsi="Traditional Arabic" w:cs="Traditional Arabic" w:hint="cs"/>
          <w:sz w:val="32"/>
          <w:szCs w:val="32"/>
          <w:rtl/>
          <w:lang w:bidi="ar-DZ"/>
        </w:rPr>
        <w:t>سيأثر على</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w:t>
      </w:r>
      <w:r w:rsidRPr="00096160">
        <w:rPr>
          <w:rFonts w:ascii="Traditional Arabic" w:hAnsi="Traditional Arabic" w:cs="Traditional Arabic"/>
          <w:sz w:val="32"/>
          <w:szCs w:val="32"/>
          <w:rtl/>
          <w:lang w:bidi="ar-DZ"/>
        </w:rPr>
        <w:t>لدول العربية غير النفطية الساعية لتنفيذ برامج استثمار في هذه المجالات، لأن</w:t>
      </w:r>
      <w:r>
        <w:rPr>
          <w:rFonts w:ascii="Traditional Arabic" w:hAnsi="Traditional Arabic" w:cs="Traditional Arabic" w:hint="cs"/>
          <w:sz w:val="32"/>
          <w:szCs w:val="32"/>
          <w:rtl/>
          <w:lang w:bidi="ar-DZ"/>
        </w:rPr>
        <w:t xml:space="preserve">ها </w:t>
      </w:r>
      <w:r w:rsidRPr="00096160">
        <w:rPr>
          <w:rFonts w:ascii="Traditional Arabic" w:hAnsi="Traditional Arabic" w:cs="Traditional Arabic"/>
          <w:sz w:val="32"/>
          <w:szCs w:val="32"/>
          <w:rtl/>
          <w:lang w:bidi="ar-DZ"/>
        </w:rPr>
        <w:t>لم تعد تمول من ميزانية الدولة وحدها بل باتت تنفذ على شكل شر</w:t>
      </w:r>
      <w:r w:rsidR="00FB4DA3">
        <w:rPr>
          <w:rFonts w:ascii="Traditional Arabic" w:hAnsi="Traditional Arabic" w:cs="Traditional Arabic" w:hint="cs"/>
          <w:sz w:val="32"/>
          <w:szCs w:val="32"/>
          <w:rtl/>
          <w:lang w:bidi="ar-DZ"/>
        </w:rPr>
        <w:t>ا</w:t>
      </w:r>
      <w:r w:rsidRPr="00096160">
        <w:rPr>
          <w:rFonts w:ascii="Traditional Arabic" w:hAnsi="Traditional Arabic" w:cs="Traditional Arabic"/>
          <w:sz w:val="32"/>
          <w:szCs w:val="32"/>
          <w:rtl/>
          <w:lang w:bidi="ar-DZ"/>
        </w:rPr>
        <w:t>كات مع الق</w:t>
      </w:r>
      <w:r>
        <w:rPr>
          <w:rFonts w:ascii="Traditional Arabic" w:hAnsi="Traditional Arabic" w:cs="Traditional Arabic"/>
          <w:sz w:val="32"/>
          <w:szCs w:val="32"/>
          <w:rtl/>
          <w:lang w:bidi="ar-DZ"/>
        </w:rPr>
        <w:t>طاع الخاص</w:t>
      </w:r>
      <w:r>
        <w:rPr>
          <w:rFonts w:ascii="Traditional Arabic" w:hAnsi="Traditional Arabic" w:cs="Traditional Arabic" w:hint="cs"/>
          <w:sz w:val="32"/>
          <w:szCs w:val="32"/>
          <w:rtl/>
          <w:lang w:bidi="ar-DZ"/>
        </w:rPr>
        <w:t>،</w:t>
      </w:r>
      <w:r w:rsidRPr="00096160">
        <w:rPr>
          <w:rFonts w:ascii="Traditional Arabic" w:hAnsi="Traditional Arabic" w:cs="Traditional Arabic"/>
          <w:sz w:val="32"/>
          <w:szCs w:val="32"/>
          <w:rtl/>
          <w:lang w:bidi="ar-DZ"/>
        </w:rPr>
        <w:t xml:space="preserve"> هذا مع العلم أن أزمة التمويل قد تعزز صيغ الشراكة ما بين القطاعين العام والخاص</w:t>
      </w:r>
      <w:r w:rsidRPr="00096160">
        <w:rPr>
          <w:rStyle w:val="Appelnotedebasdep"/>
          <w:rFonts w:ascii="Traditional Arabic" w:hAnsi="Traditional Arabic" w:cs="Traditional Arabic"/>
          <w:sz w:val="32"/>
          <w:szCs w:val="32"/>
          <w:rtl/>
          <w:lang w:bidi="ar-DZ"/>
        </w:rPr>
        <w:footnoteReference w:id="32"/>
      </w:r>
      <w:r w:rsidRPr="00096160">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w:t>
      </w:r>
      <w:r w:rsidRPr="00096160">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096160">
        <w:rPr>
          <w:rFonts w:ascii="Traditional Arabic" w:hAnsi="Traditional Arabic" w:cs="Traditional Arabic"/>
          <w:sz w:val="32"/>
          <w:szCs w:val="32"/>
          <w:rtl/>
          <w:lang w:bidi="ar-DZ"/>
        </w:rPr>
        <w:t xml:space="preserve"> </w:t>
      </w:r>
      <w:r w:rsidRPr="0009616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5D393D" w:rsidRPr="005D393D" w:rsidRDefault="005D393D" w:rsidP="005B4C25">
      <w:pPr>
        <w:tabs>
          <w:tab w:val="right" w:pos="567"/>
        </w:tabs>
        <w:bidi/>
        <w:spacing w:after="0"/>
        <w:jc w:val="both"/>
        <w:rPr>
          <w:rFonts w:ascii="Traditional Arabic" w:hAnsi="Traditional Arabic" w:cs="Traditional Arabic"/>
          <w:b/>
          <w:bCs/>
          <w:sz w:val="32"/>
          <w:szCs w:val="32"/>
          <w:rtl/>
          <w:lang w:bidi="ar-DZ"/>
        </w:rPr>
      </w:pPr>
      <w:r w:rsidRPr="005D393D">
        <w:rPr>
          <w:rFonts w:ascii="Traditional Arabic" w:hAnsi="Traditional Arabic" w:cs="Traditional Arabic" w:hint="cs"/>
          <w:b/>
          <w:bCs/>
          <w:sz w:val="32"/>
          <w:szCs w:val="32"/>
          <w:rtl/>
          <w:lang w:bidi="ar-DZ"/>
        </w:rPr>
        <w:t xml:space="preserve">المطلب الثالث: التأثير على </w:t>
      </w:r>
      <w:r w:rsidRPr="005D393D">
        <w:rPr>
          <w:rFonts w:ascii="Traditional Arabic" w:hAnsi="Traditional Arabic" w:cs="Traditional Arabic"/>
          <w:b/>
          <w:bCs/>
          <w:sz w:val="32"/>
          <w:szCs w:val="32"/>
          <w:rtl/>
          <w:lang w:bidi="ar-DZ"/>
        </w:rPr>
        <w:t>سوق العمل</w:t>
      </w:r>
      <w:r w:rsidRPr="005D393D">
        <w:rPr>
          <w:rFonts w:ascii="Traditional Arabic" w:eastAsia="Times New Roman" w:hAnsi="Traditional Arabic" w:cs="Traditional Arabic"/>
          <w:b/>
          <w:bCs/>
          <w:sz w:val="32"/>
          <w:szCs w:val="32"/>
          <w:rtl/>
          <w:lang w:bidi="ar-EG"/>
        </w:rPr>
        <w:t xml:space="preserve"> </w:t>
      </w:r>
      <w:r w:rsidRPr="005D393D">
        <w:rPr>
          <w:rFonts w:ascii="Traditional Arabic" w:eastAsia="Times New Roman" w:hAnsi="Traditional Arabic" w:cs="Traditional Arabic" w:hint="cs"/>
          <w:b/>
          <w:bCs/>
          <w:sz w:val="32"/>
          <w:szCs w:val="32"/>
          <w:rtl/>
          <w:lang w:bidi="ar-EG"/>
        </w:rPr>
        <w:t xml:space="preserve">وعلى </w:t>
      </w:r>
      <w:r w:rsidRPr="005D393D">
        <w:rPr>
          <w:rFonts w:ascii="Traditional Arabic" w:eastAsia="Times New Roman" w:hAnsi="Traditional Arabic" w:cs="Traditional Arabic"/>
          <w:b/>
          <w:bCs/>
          <w:sz w:val="32"/>
          <w:szCs w:val="32"/>
          <w:rtl/>
          <w:lang w:bidi="ar-EG"/>
        </w:rPr>
        <w:t>تحويلات العاملين في الخارج</w:t>
      </w:r>
      <w:r w:rsidR="0059767D">
        <w:rPr>
          <w:rFonts w:ascii="Traditional Arabic" w:eastAsia="Times New Roman" w:hAnsi="Traditional Arabic" w:cs="Traditional Arabic" w:hint="cs"/>
          <w:b/>
          <w:bCs/>
          <w:sz w:val="32"/>
          <w:szCs w:val="32"/>
          <w:rtl/>
          <w:lang w:bidi="ar-EG"/>
        </w:rPr>
        <w:t>:</w:t>
      </w:r>
      <w:r w:rsidRPr="005D393D">
        <w:rPr>
          <w:rFonts w:ascii="Traditional Arabic" w:eastAsia="Times New Roman" w:hAnsi="Traditional Arabic" w:cs="Traditional Arabic" w:hint="cs"/>
          <w:b/>
          <w:bCs/>
          <w:sz w:val="32"/>
          <w:szCs w:val="32"/>
          <w:rtl/>
          <w:lang w:bidi="ar-EG"/>
        </w:rPr>
        <w:t xml:space="preserve"> </w:t>
      </w:r>
    </w:p>
    <w:p w:rsidR="005D393D" w:rsidRPr="005D393D" w:rsidRDefault="005D393D" w:rsidP="005B4C25">
      <w:pPr>
        <w:bidi/>
        <w:spacing w:after="0"/>
        <w:rPr>
          <w:rFonts w:ascii="Traditional Arabic" w:hAnsi="Traditional Arabic" w:cs="Traditional Arabic"/>
          <w:sz w:val="32"/>
          <w:szCs w:val="32"/>
          <w:lang w:bidi="ar-DZ"/>
        </w:rPr>
      </w:pPr>
      <w:r w:rsidRPr="005D393D">
        <w:rPr>
          <w:rFonts w:ascii="Traditional Arabic" w:hAnsi="Traditional Arabic" w:cs="Traditional Arabic" w:hint="cs"/>
          <w:b/>
          <w:bCs/>
          <w:sz w:val="24"/>
          <w:szCs w:val="24"/>
          <w:rtl/>
          <w:lang w:bidi="ar-DZ"/>
        </w:rPr>
        <w:t xml:space="preserve">1- </w:t>
      </w:r>
      <w:r w:rsidRPr="005D393D">
        <w:rPr>
          <w:rFonts w:ascii="Traditional Arabic" w:hAnsi="Traditional Arabic" w:cs="Traditional Arabic" w:hint="cs"/>
          <w:b/>
          <w:bCs/>
          <w:sz w:val="32"/>
          <w:szCs w:val="32"/>
          <w:rtl/>
          <w:lang w:bidi="ar-DZ"/>
        </w:rPr>
        <w:t>ارتفاع معدلات البطالة في الدول العربية</w:t>
      </w:r>
      <w:r>
        <w:rPr>
          <w:rFonts w:ascii="Traditional Arabic" w:hAnsi="Traditional Arabic" w:cs="Traditional Arabic" w:hint="cs"/>
          <w:sz w:val="32"/>
          <w:szCs w:val="32"/>
          <w:rtl/>
          <w:lang w:bidi="ar-DZ"/>
        </w:rPr>
        <w:t xml:space="preserve">: </w:t>
      </w:r>
      <w:r w:rsidRPr="005D393D">
        <w:rPr>
          <w:rFonts w:ascii="Traditional Arabic" w:hAnsi="Traditional Arabic" w:cs="Traditional Arabic" w:hint="cs"/>
          <w:sz w:val="32"/>
          <w:szCs w:val="32"/>
          <w:rtl/>
          <w:lang w:bidi="ar-DZ"/>
        </w:rPr>
        <w:t xml:space="preserve"> </w:t>
      </w:r>
    </w:p>
    <w:p w:rsidR="0082131A" w:rsidRPr="002C10B5" w:rsidRDefault="005B4C25" w:rsidP="00B909AF">
      <w:pPr>
        <w:tabs>
          <w:tab w:val="right" w:pos="567"/>
        </w:tabs>
        <w:bidi/>
        <w:jc w:val="lowKashida"/>
        <w:rPr>
          <w:rFonts w:ascii="Traditional Arabic" w:hAnsi="Traditional Arabic" w:cs="Traditional Arabic"/>
          <w:sz w:val="32"/>
          <w:szCs w:val="32"/>
          <w:rtl/>
          <w:lang w:bidi="ar-EG"/>
        </w:rPr>
      </w:pPr>
      <w:r>
        <w:rPr>
          <w:rFonts w:ascii="Traditional Arabic" w:hAnsi="Traditional Arabic" w:cs="Traditional Arabic" w:hint="cs"/>
          <w:sz w:val="32"/>
          <w:szCs w:val="32"/>
          <w:rtl/>
          <w:lang w:bidi="ar-DZ"/>
        </w:rPr>
        <w:t xml:space="preserve">       </w:t>
      </w:r>
      <w:r w:rsidR="0082131A">
        <w:rPr>
          <w:rFonts w:ascii="Traditional Arabic" w:hAnsi="Traditional Arabic" w:cs="Traditional Arabic" w:hint="cs"/>
          <w:sz w:val="32"/>
          <w:szCs w:val="32"/>
          <w:rtl/>
          <w:lang w:bidi="ar-EG"/>
        </w:rPr>
        <w:t>تتأثر</w:t>
      </w:r>
      <w:r w:rsidR="0082131A" w:rsidRPr="005E6533">
        <w:rPr>
          <w:rFonts w:ascii="Traditional Arabic" w:hAnsi="Traditional Arabic" w:cs="Traditional Arabic"/>
          <w:sz w:val="32"/>
          <w:szCs w:val="32"/>
          <w:rtl/>
          <w:lang w:bidi="ar-EG"/>
        </w:rPr>
        <w:t xml:space="preserve"> </w:t>
      </w:r>
      <w:r w:rsidR="0082131A" w:rsidRPr="002C10B5">
        <w:rPr>
          <w:rFonts w:ascii="Traditional Arabic" w:hAnsi="Traditional Arabic" w:cs="Traditional Arabic"/>
          <w:sz w:val="32"/>
          <w:szCs w:val="32"/>
          <w:rtl/>
          <w:lang w:bidi="ar-EG"/>
        </w:rPr>
        <w:t>الدول العربية</w:t>
      </w:r>
      <w:r w:rsidR="0082131A">
        <w:rPr>
          <w:rFonts w:ascii="Traditional Arabic" w:hAnsi="Traditional Arabic" w:cs="Traditional Arabic" w:hint="cs"/>
          <w:sz w:val="32"/>
          <w:szCs w:val="32"/>
          <w:rtl/>
          <w:lang w:bidi="ar-EG"/>
        </w:rPr>
        <w:t xml:space="preserve"> ب</w:t>
      </w:r>
      <w:r w:rsidR="0082131A">
        <w:rPr>
          <w:rFonts w:ascii="Traditional Arabic" w:hAnsi="Traditional Arabic" w:cs="Traditional Arabic"/>
          <w:sz w:val="32"/>
          <w:szCs w:val="32"/>
          <w:rtl/>
          <w:lang w:bidi="ar-EG"/>
        </w:rPr>
        <w:t xml:space="preserve">الأزمة العالمية </w:t>
      </w:r>
      <w:r w:rsidR="0082131A" w:rsidRPr="002C10B5">
        <w:rPr>
          <w:rFonts w:ascii="Traditional Arabic" w:hAnsi="Traditional Arabic" w:cs="Traditional Arabic"/>
          <w:sz w:val="32"/>
          <w:szCs w:val="32"/>
          <w:rtl/>
          <w:lang w:bidi="ar-EG"/>
        </w:rPr>
        <w:t>حسب مدى ارتباطها بالاقتصاد العالمي وحسب درجة نموها وهيكلها الإنتاجي، وكذلك تتأثر القطاعات الاقتصادية المختلفة فيها بصورة متباينة. ولعل أول القطاعات التي تأثرت كانت قطاع المصارف والخدمات المالية، وامتد</w:t>
      </w:r>
      <w:r w:rsidR="0082131A">
        <w:rPr>
          <w:rFonts w:ascii="Traditional Arabic" w:hAnsi="Traditional Arabic" w:cs="Traditional Arabic" w:hint="cs"/>
          <w:sz w:val="32"/>
          <w:szCs w:val="32"/>
          <w:rtl/>
          <w:lang w:bidi="ar-EG"/>
        </w:rPr>
        <w:t>ت</w:t>
      </w:r>
      <w:r w:rsidR="0082131A" w:rsidRPr="002C10B5">
        <w:rPr>
          <w:rFonts w:ascii="Traditional Arabic" w:hAnsi="Traditional Arabic" w:cs="Traditional Arabic"/>
          <w:sz w:val="32"/>
          <w:szCs w:val="32"/>
          <w:rtl/>
          <w:lang w:bidi="ar-EG"/>
        </w:rPr>
        <w:t xml:space="preserve"> إلى قطاع التشييد والعقارات، ثم إلى قطاع البيع بالتجزئة، ثم قطاع السياحة والترفيه، وأخيرا قطاعات الإنتاج الصناعي والإستخراجي و</w:t>
      </w:r>
      <w:r w:rsidR="0082131A">
        <w:rPr>
          <w:rFonts w:ascii="Traditional Arabic" w:hAnsi="Traditional Arabic" w:cs="Traditional Arabic"/>
          <w:sz w:val="32"/>
          <w:szCs w:val="32"/>
          <w:rtl/>
          <w:lang w:bidi="ar-EG"/>
        </w:rPr>
        <w:t>الزراعي</w:t>
      </w:r>
      <w:r w:rsidR="0082131A" w:rsidRPr="002C10B5">
        <w:rPr>
          <w:rStyle w:val="Appelnotedebasdep"/>
          <w:rFonts w:ascii="Traditional Arabic" w:hAnsi="Traditional Arabic" w:cs="Traditional Arabic"/>
          <w:sz w:val="32"/>
          <w:szCs w:val="32"/>
          <w:rtl/>
          <w:lang w:bidi="ar-EG"/>
        </w:rPr>
        <w:footnoteReference w:id="33"/>
      </w:r>
      <w:r w:rsidR="0082131A" w:rsidRPr="002C10B5">
        <w:rPr>
          <w:rFonts w:ascii="Traditional Arabic" w:hAnsi="Traditional Arabic" w:cs="Traditional Arabic"/>
          <w:sz w:val="32"/>
          <w:szCs w:val="32"/>
          <w:rtl/>
          <w:lang w:bidi="ar-EG"/>
        </w:rPr>
        <w:t xml:space="preserve">.  </w:t>
      </w:r>
    </w:p>
    <w:p w:rsidR="00841016" w:rsidRDefault="00453A10" w:rsidP="00833DD1">
      <w:pPr>
        <w:tabs>
          <w:tab w:val="right" w:pos="567"/>
        </w:tabs>
        <w:bidi/>
        <w:ind w:firstLine="567"/>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EG"/>
        </w:rPr>
        <w:t>كما</w:t>
      </w:r>
      <w:r w:rsidR="0082131A" w:rsidRPr="002C10B5">
        <w:rPr>
          <w:rFonts w:ascii="Traditional Arabic" w:hAnsi="Traditional Arabic" w:cs="Traditional Arabic"/>
          <w:sz w:val="32"/>
          <w:szCs w:val="32"/>
          <w:rtl/>
          <w:lang w:bidi="ar-EG"/>
        </w:rPr>
        <w:t xml:space="preserve"> أن تداعيات الأزمة تعمل في اتجاهين لتزيد من أوضاع التشغيل سوءاً، الأول هو استغناء المؤسسات عن بعض العاملين فيها أو عنهم جميعا عند انهيارها أو نقل مراكز أعمالها، والاتجاه الثاني هو تقليل فرص عمل الداخلين الجدد في سوق العمل. </w:t>
      </w:r>
      <w:r w:rsidR="0082131A" w:rsidRPr="002C10B5">
        <w:rPr>
          <w:rFonts w:ascii="Traditional Arabic" w:hAnsi="Traditional Arabic" w:cs="Traditional Arabic"/>
          <w:sz w:val="32"/>
          <w:szCs w:val="32"/>
          <w:rtl/>
          <w:lang w:bidi="ar-DZ"/>
        </w:rPr>
        <w:t xml:space="preserve"> فتأثير الانكماش الاقتصادي العالمي بدأت تلوح تباشيره من خلال تراجع مستويات النمو الاقتصادي في الدول العربية وتزايد تسريح العمال </w:t>
      </w:r>
      <w:r w:rsidR="0082131A" w:rsidRPr="002C10B5">
        <w:rPr>
          <w:rFonts w:ascii="Traditional Arabic" w:hAnsi="Traditional Arabic" w:cs="Traditional Arabic"/>
          <w:sz w:val="32"/>
          <w:szCs w:val="32"/>
          <w:rtl/>
          <w:lang w:bidi="ar-EG"/>
        </w:rPr>
        <w:t>(</w:t>
      </w:r>
      <w:r w:rsidR="00833DD1">
        <w:rPr>
          <w:rFonts w:ascii="Traditional Arabic" w:hAnsi="Traditional Arabic" w:cs="Traditional Arabic" w:hint="cs"/>
          <w:sz w:val="32"/>
          <w:szCs w:val="32"/>
          <w:rtl/>
          <w:lang w:bidi="ar-EG"/>
        </w:rPr>
        <w:t>أنظر الشكل</w:t>
      </w:r>
      <w:r w:rsidR="0082131A" w:rsidRPr="002C10B5">
        <w:rPr>
          <w:rFonts w:ascii="Traditional Arabic" w:hAnsi="Traditional Arabic" w:cs="Traditional Arabic"/>
          <w:sz w:val="32"/>
          <w:szCs w:val="32"/>
          <w:rtl/>
          <w:lang w:bidi="ar-EG"/>
        </w:rPr>
        <w:t xml:space="preserve"> رقم </w:t>
      </w:r>
      <w:r w:rsidR="00833DD1">
        <w:rPr>
          <w:rFonts w:ascii="Traditional Arabic" w:hAnsi="Traditional Arabic" w:cs="Traditional Arabic" w:hint="cs"/>
          <w:sz w:val="24"/>
          <w:szCs w:val="24"/>
          <w:rtl/>
          <w:lang w:bidi="ar-EG"/>
        </w:rPr>
        <w:t>25</w:t>
      </w:r>
      <w:r w:rsidR="0082131A" w:rsidRPr="008E3AA3">
        <w:rPr>
          <w:rFonts w:ascii="Traditional Arabic" w:hAnsi="Traditional Arabic" w:cs="Traditional Arabic"/>
          <w:sz w:val="32"/>
          <w:szCs w:val="32"/>
          <w:rtl/>
          <w:lang w:bidi="ar-EG"/>
        </w:rPr>
        <w:t>)</w:t>
      </w:r>
      <w:r w:rsidR="0082131A" w:rsidRPr="002C10B5">
        <w:rPr>
          <w:rFonts w:ascii="Traditional Arabic" w:hAnsi="Traditional Arabic" w:cs="Traditional Arabic"/>
          <w:sz w:val="32"/>
          <w:szCs w:val="32"/>
          <w:rtl/>
          <w:lang w:bidi="ar-DZ"/>
        </w:rPr>
        <w:t>، ولاسيما في دول الخليج الغنية بالنفط والتي شهدت سابقا طفرة اقتصادية، وقد تضررت قطاعات النمو الأساسية في الإمارات العربية المتحدة (وتحديدا دبي) أي قطاعات البناء، العقارات والمال بشكل كبير، فقد تزايد عدد العمال المسرحين (العمال المهاجرين) في هذه القطاعات، فضلا عن قطاعات السياحة والفنادق</w:t>
      </w:r>
      <w:r w:rsidR="0082131A">
        <w:rPr>
          <w:rFonts w:ascii="Traditional Arabic" w:hAnsi="Traditional Arabic" w:cs="Traditional Arabic" w:hint="cs"/>
          <w:sz w:val="32"/>
          <w:szCs w:val="32"/>
          <w:rtl/>
          <w:lang w:bidi="ar-DZ"/>
        </w:rPr>
        <w:t>،</w:t>
      </w:r>
      <w:r w:rsidR="0082131A" w:rsidRPr="002C10B5">
        <w:rPr>
          <w:rFonts w:ascii="Traditional Arabic" w:hAnsi="Traditional Arabic" w:cs="Traditional Arabic"/>
          <w:sz w:val="32"/>
          <w:szCs w:val="32"/>
          <w:rtl/>
          <w:lang w:bidi="ar-DZ"/>
        </w:rPr>
        <w:t xml:space="preserve"> وقد أدى ذلك إلى عودة العمال المهاجرين إلى بلدانهم الأصلية أو إلى انتقالهم إلى بلدان أخرى</w:t>
      </w:r>
      <w:r w:rsidR="0082131A" w:rsidRPr="002C10B5">
        <w:rPr>
          <w:rStyle w:val="Appelnotedebasdep"/>
          <w:rFonts w:ascii="Traditional Arabic" w:hAnsi="Traditional Arabic" w:cs="Traditional Arabic"/>
          <w:sz w:val="32"/>
          <w:szCs w:val="32"/>
          <w:rtl/>
          <w:lang w:bidi="ar-DZ"/>
        </w:rPr>
        <w:footnoteReference w:id="34"/>
      </w:r>
      <w:r w:rsidR="0082131A" w:rsidRPr="002C10B5">
        <w:rPr>
          <w:rFonts w:ascii="Traditional Arabic" w:hAnsi="Traditional Arabic" w:cs="Traditional Arabic"/>
          <w:sz w:val="32"/>
          <w:szCs w:val="32"/>
          <w:rtl/>
          <w:lang w:bidi="ar-DZ"/>
        </w:rPr>
        <w:t xml:space="preserve">. </w:t>
      </w:r>
    </w:p>
    <w:p w:rsidR="005F3C50" w:rsidRPr="002C10B5" w:rsidRDefault="005F3C50" w:rsidP="005F3C50">
      <w:pPr>
        <w:tabs>
          <w:tab w:val="right" w:pos="567"/>
        </w:tabs>
        <w:bidi/>
        <w:ind w:firstLine="567"/>
        <w:jc w:val="lowKashida"/>
        <w:rPr>
          <w:rFonts w:ascii="Traditional Arabic" w:hAnsi="Traditional Arabic" w:cs="Traditional Arabic"/>
          <w:sz w:val="32"/>
          <w:szCs w:val="32"/>
          <w:rtl/>
          <w:lang w:bidi="ar-DZ"/>
        </w:rPr>
      </w:pPr>
    </w:p>
    <w:p w:rsidR="0082131A" w:rsidRDefault="00877D07" w:rsidP="0067613E">
      <w:pPr>
        <w:bidi/>
        <w:spacing w:after="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الشكل</w:t>
      </w:r>
      <w:r w:rsidR="0082131A" w:rsidRPr="0041055F">
        <w:rPr>
          <w:rFonts w:ascii="Traditional Arabic" w:hAnsi="Traditional Arabic" w:cs="Traditional Arabic"/>
          <w:sz w:val="32"/>
          <w:szCs w:val="32"/>
          <w:rtl/>
          <w:lang w:bidi="ar-DZ"/>
        </w:rPr>
        <w:t xml:space="preserve"> رقم </w:t>
      </w:r>
      <w:r>
        <w:rPr>
          <w:rFonts w:ascii="Traditional Arabic" w:hAnsi="Traditional Arabic" w:cs="Traditional Arabic" w:hint="cs"/>
          <w:sz w:val="24"/>
          <w:szCs w:val="24"/>
          <w:rtl/>
          <w:lang w:bidi="ar-DZ"/>
        </w:rPr>
        <w:t>25</w:t>
      </w:r>
      <w:r w:rsidR="0082131A" w:rsidRPr="0041055F">
        <w:rPr>
          <w:rFonts w:ascii="Traditional Arabic" w:hAnsi="Traditional Arabic" w:cs="Traditional Arabic"/>
          <w:sz w:val="32"/>
          <w:szCs w:val="32"/>
          <w:rtl/>
          <w:lang w:bidi="ar-DZ"/>
        </w:rPr>
        <w:t>: معدلات البطالة في الشرق الأوسط</w:t>
      </w:r>
      <w:r w:rsidR="00F6397E">
        <w:rPr>
          <w:rFonts w:ascii="Traditional Arabic" w:hAnsi="Traditional Arabic" w:cs="Traditional Arabic" w:hint="cs"/>
          <w:sz w:val="32"/>
          <w:szCs w:val="32"/>
          <w:rtl/>
          <w:lang w:bidi="ar-DZ"/>
        </w:rPr>
        <w:t xml:space="preserve"> خلال الفترة </w:t>
      </w:r>
      <w:r w:rsidR="00F6397E" w:rsidRPr="00F6397E">
        <w:rPr>
          <w:rFonts w:ascii="Traditional Arabic" w:hAnsi="Traditional Arabic" w:cs="Traditional Arabic" w:hint="cs"/>
          <w:sz w:val="24"/>
          <w:szCs w:val="24"/>
          <w:rtl/>
          <w:lang w:bidi="ar-DZ"/>
        </w:rPr>
        <w:t>1998-2008</w:t>
      </w:r>
      <w:r w:rsidR="0082131A" w:rsidRPr="00F6397E">
        <w:rPr>
          <w:rFonts w:ascii="Traditional Arabic" w:hAnsi="Traditional Arabic" w:cs="Traditional Arabic"/>
          <w:sz w:val="24"/>
          <w:szCs w:val="24"/>
          <w:rtl/>
          <w:lang w:bidi="ar-DZ"/>
        </w:rPr>
        <w:t xml:space="preserve"> </w:t>
      </w:r>
      <w:r w:rsidR="0082131A" w:rsidRPr="0041055F">
        <w:rPr>
          <w:rFonts w:ascii="Traditional Arabic" w:hAnsi="Traditional Arabic" w:cs="Traditional Arabic"/>
          <w:sz w:val="32"/>
          <w:szCs w:val="32"/>
          <w:rtl/>
          <w:lang w:bidi="ar-DZ"/>
        </w:rPr>
        <w:t>(</w:t>
      </w:r>
      <w:r w:rsidR="0082131A" w:rsidRPr="0041055F">
        <w:rPr>
          <w:rFonts w:ascii="Traditional Arabic" w:hAnsi="Traditional Arabic" w:cs="Traditional Arabic"/>
          <w:sz w:val="28"/>
          <w:szCs w:val="28"/>
          <w:rtl/>
          <w:lang w:bidi="ar-DZ"/>
        </w:rPr>
        <w:t>كنسبة مؤوية من القوى العاملة</w:t>
      </w:r>
      <w:r w:rsidR="0082131A" w:rsidRPr="0041055F">
        <w:rPr>
          <w:rFonts w:ascii="Traditional Arabic" w:hAnsi="Traditional Arabic" w:cs="Traditional Arabic"/>
          <w:sz w:val="32"/>
          <w:szCs w:val="32"/>
          <w:rtl/>
          <w:lang w:bidi="ar-DZ"/>
        </w:rPr>
        <w:t>)</w:t>
      </w:r>
    </w:p>
    <w:p w:rsidR="0082131A" w:rsidRPr="000E13F0" w:rsidRDefault="000E13F0" w:rsidP="000E13F0">
      <w:pPr>
        <w:bidi/>
        <w:spacing w:after="0"/>
        <w:jc w:val="center"/>
        <w:rPr>
          <w:rFonts w:ascii="Traditional Arabic" w:hAnsi="Traditional Arabic" w:cs="Traditional Arabic"/>
          <w:sz w:val="32"/>
          <w:szCs w:val="32"/>
          <w:lang w:bidi="ar-DZ"/>
        </w:rPr>
      </w:pPr>
      <w:r>
        <w:rPr>
          <w:rFonts w:ascii="Traditional Arabic" w:hAnsi="Traditional Arabic" w:cs="Traditional Arabic"/>
          <w:noProof/>
          <w:sz w:val="32"/>
          <w:szCs w:val="32"/>
        </w:rPr>
        <w:drawing>
          <wp:inline distT="0" distB="0" distL="0" distR="0">
            <wp:extent cx="4196573" cy="2389517"/>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203878" cy="2393676"/>
                    </a:xfrm>
                    <a:prstGeom prst="rect">
                      <a:avLst/>
                    </a:prstGeom>
                    <a:noFill/>
                    <a:ln w="9525">
                      <a:noFill/>
                      <a:miter lim="800000"/>
                      <a:headEnd/>
                      <a:tailEnd/>
                    </a:ln>
                  </pic:spPr>
                </pic:pic>
              </a:graphicData>
            </a:graphic>
          </wp:inline>
        </w:drawing>
      </w:r>
    </w:p>
    <w:p w:rsidR="0082131A" w:rsidRPr="002C10B5" w:rsidRDefault="00434D00" w:rsidP="00434D00">
      <w:pPr>
        <w:bidi/>
        <w:rPr>
          <w:rFonts w:ascii="Traditional Arabic" w:hAnsi="Traditional Arabic" w:cs="Traditional Arabic"/>
          <w:sz w:val="28"/>
          <w:szCs w:val="28"/>
          <w:rtl/>
          <w:lang w:bidi="ar-DZ"/>
        </w:rPr>
      </w:pPr>
      <w:r>
        <w:rPr>
          <w:rFonts w:ascii="Traditional Arabic" w:hAnsi="Traditional Arabic" w:cs="Traditional Arabic"/>
          <w:sz w:val="24"/>
          <w:szCs w:val="24"/>
          <w:lang w:bidi="ar-DZ"/>
        </w:rPr>
        <w:t xml:space="preserve">                  </w:t>
      </w:r>
      <w:r w:rsidR="0082131A" w:rsidRPr="00434D00">
        <w:rPr>
          <w:rFonts w:ascii="Traditional Arabic" w:hAnsi="Traditional Arabic" w:cs="Traditional Arabic"/>
          <w:sz w:val="28"/>
          <w:szCs w:val="28"/>
          <w:rtl/>
          <w:lang w:bidi="ar-DZ"/>
        </w:rPr>
        <w:t>المصدر: كريستينا</w:t>
      </w:r>
      <w:r w:rsidR="0082131A" w:rsidRPr="002C10B5">
        <w:rPr>
          <w:rFonts w:ascii="Traditional Arabic" w:hAnsi="Traditional Arabic" w:cs="Traditional Arabic"/>
          <w:sz w:val="28"/>
          <w:szCs w:val="28"/>
          <w:rtl/>
          <w:lang w:bidi="ar-DZ"/>
        </w:rPr>
        <w:t xml:space="preserve"> برينت، طارق الحق، نورا كمال: مرجع سابق، ص </w:t>
      </w:r>
      <w:r w:rsidR="0082131A" w:rsidRPr="002C10B5">
        <w:rPr>
          <w:rFonts w:ascii="Traditional Arabic" w:hAnsi="Traditional Arabic" w:cs="Traditional Arabic"/>
          <w:rtl/>
          <w:lang w:bidi="ar-DZ"/>
        </w:rPr>
        <w:t>6</w:t>
      </w:r>
      <w:r w:rsidR="0082131A" w:rsidRPr="002C10B5">
        <w:rPr>
          <w:rFonts w:ascii="Traditional Arabic" w:hAnsi="Traditional Arabic" w:cs="Traditional Arabic"/>
          <w:sz w:val="28"/>
          <w:szCs w:val="28"/>
          <w:rtl/>
          <w:lang w:bidi="ar-DZ"/>
        </w:rPr>
        <w:t>.</w:t>
      </w:r>
    </w:p>
    <w:p w:rsidR="0082131A" w:rsidRPr="002C10B5" w:rsidRDefault="0082131A" w:rsidP="0082131A">
      <w:pPr>
        <w:tabs>
          <w:tab w:val="right" w:pos="567"/>
        </w:tabs>
        <w:bidi/>
        <w:ind w:firstLine="567"/>
        <w:jc w:val="lowKashida"/>
        <w:rPr>
          <w:rFonts w:ascii="Traditional Arabic" w:hAnsi="Traditional Arabic" w:cs="Traditional Arabic"/>
          <w:sz w:val="32"/>
          <w:szCs w:val="32"/>
          <w:rtl/>
          <w:lang w:bidi="ar-EG"/>
        </w:rPr>
      </w:pPr>
      <w:r w:rsidRPr="002C10B5">
        <w:rPr>
          <w:rFonts w:ascii="Traditional Arabic" w:hAnsi="Traditional Arabic" w:cs="Traditional Arabic"/>
          <w:sz w:val="32"/>
          <w:szCs w:val="32"/>
          <w:rtl/>
          <w:lang w:bidi="ar-EG"/>
        </w:rPr>
        <w:t>وفى ظروف الاستغناء عن العمالة فإن المؤسسات تتبع منهج تقليل الإنفاق خاصة بالضغط على الأجور والرواتب</w:t>
      </w:r>
      <w:r>
        <w:rPr>
          <w:rFonts w:ascii="Traditional Arabic" w:hAnsi="Traditional Arabic" w:cs="Traditional Arabic" w:hint="cs"/>
          <w:sz w:val="32"/>
          <w:szCs w:val="32"/>
          <w:rtl/>
          <w:lang w:bidi="ar-EG"/>
        </w:rPr>
        <w:t>،</w:t>
      </w:r>
      <w:r>
        <w:rPr>
          <w:rFonts w:ascii="Traditional Arabic" w:hAnsi="Traditional Arabic" w:cs="Traditional Arabic"/>
          <w:sz w:val="32"/>
          <w:szCs w:val="32"/>
          <w:rtl/>
          <w:lang w:bidi="ar-EG"/>
        </w:rPr>
        <w:t xml:space="preserve"> وف</w:t>
      </w:r>
      <w:r>
        <w:rPr>
          <w:rFonts w:ascii="Traditional Arabic" w:hAnsi="Traditional Arabic" w:cs="Traditional Arabic" w:hint="cs"/>
          <w:sz w:val="32"/>
          <w:szCs w:val="32"/>
          <w:rtl/>
          <w:lang w:bidi="ar-EG"/>
        </w:rPr>
        <w:t>ي</w:t>
      </w:r>
      <w:r w:rsidRPr="002C10B5">
        <w:rPr>
          <w:rFonts w:ascii="Traditional Arabic" w:hAnsi="Traditional Arabic" w:cs="Traditional Arabic"/>
          <w:sz w:val="32"/>
          <w:szCs w:val="32"/>
          <w:rtl/>
          <w:lang w:bidi="ar-EG"/>
        </w:rPr>
        <w:t xml:space="preserve"> هذه الحالة يصبح الوافد منافسا قويا للمواطن وتصاب عندئذ برامج توطين الوظائف ببعض الخلل، كما أن إدارة الشركات والمؤسسات الخاصة يتعاظم فيها دور الشبكات الاجتماعية والعرقية النافذة، وتسعى هذه الشبكات لحماية المنتسبين إل</w:t>
      </w:r>
      <w:r>
        <w:rPr>
          <w:rFonts w:ascii="Traditional Arabic" w:hAnsi="Traditional Arabic" w:cs="Traditional Arabic"/>
          <w:sz w:val="32"/>
          <w:szCs w:val="32"/>
          <w:rtl/>
          <w:lang w:bidi="ar-EG"/>
        </w:rPr>
        <w:t xml:space="preserve">يها على حساب المواطنين والعرب. </w:t>
      </w:r>
      <w:r>
        <w:rPr>
          <w:rFonts w:ascii="Traditional Arabic" w:hAnsi="Traditional Arabic" w:cs="Traditional Arabic" w:hint="cs"/>
          <w:sz w:val="32"/>
          <w:szCs w:val="32"/>
          <w:rtl/>
          <w:lang w:bidi="ar-EG"/>
        </w:rPr>
        <w:t xml:space="preserve">كما أن </w:t>
      </w:r>
      <w:r w:rsidRPr="002C10B5">
        <w:rPr>
          <w:rFonts w:ascii="Traditional Arabic" w:hAnsi="Traditional Arabic" w:cs="Traditional Arabic"/>
          <w:sz w:val="32"/>
          <w:szCs w:val="32"/>
          <w:rtl/>
          <w:lang w:bidi="ar-EG"/>
        </w:rPr>
        <w:t>إنهاء عقود جانب من العمالة الوافدة في قطاعات الإنشاءات والتوزيع وغيرها لا يقلل كثيرا من تداعيات الأزمة، ف</w:t>
      </w:r>
      <w:r w:rsidR="00C468D8">
        <w:rPr>
          <w:rFonts w:ascii="Traditional Arabic" w:hAnsi="Traditional Arabic" w:cs="Traditional Arabic"/>
          <w:sz w:val="32"/>
          <w:szCs w:val="32"/>
          <w:rtl/>
          <w:lang w:bidi="ar-EG"/>
        </w:rPr>
        <w:t xml:space="preserve">هناك شريحة واسعة من المواطنين </w:t>
      </w:r>
      <w:r w:rsidRPr="002C10B5">
        <w:rPr>
          <w:rFonts w:ascii="Traditional Arabic" w:hAnsi="Traditional Arabic" w:cs="Traditional Arabic"/>
          <w:sz w:val="32"/>
          <w:szCs w:val="32"/>
          <w:rtl/>
          <w:lang w:bidi="ar-EG"/>
        </w:rPr>
        <w:t>منتفعة بوجود هؤلاء، خاصة في قطاعات تأجير العقارات والتعليم والصحة وخدمات المطاعم والتجارة الفردية والتوزيع .. إلخ</w:t>
      </w:r>
      <w:r w:rsidRPr="002C10B5">
        <w:rPr>
          <w:rStyle w:val="Appelnotedebasdep"/>
          <w:rFonts w:ascii="Traditional Arabic" w:hAnsi="Traditional Arabic" w:cs="Traditional Arabic"/>
          <w:sz w:val="32"/>
          <w:szCs w:val="32"/>
          <w:rtl/>
          <w:lang w:bidi="ar-EG"/>
        </w:rPr>
        <w:footnoteReference w:id="35"/>
      </w:r>
      <w:r w:rsidRPr="002C10B5">
        <w:rPr>
          <w:rFonts w:ascii="Traditional Arabic" w:hAnsi="Traditional Arabic" w:cs="Traditional Arabic"/>
          <w:sz w:val="32"/>
          <w:szCs w:val="32"/>
          <w:rtl/>
          <w:lang w:bidi="ar-EG"/>
        </w:rPr>
        <w:t xml:space="preserve">. </w:t>
      </w:r>
    </w:p>
    <w:p w:rsidR="0082131A" w:rsidRPr="002C10B5" w:rsidRDefault="0082131A" w:rsidP="007B0131">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 xml:space="preserve">  فبالنسبة لتسريح العمال إثر الأزمة المالية في بعض دول الخليج، إنهاء الاستخدام طال بشكل خاص العمال المهاجرين، ويظهر </w:t>
      </w:r>
      <w:r w:rsidR="007B0131">
        <w:rPr>
          <w:rFonts w:ascii="Traditional Arabic" w:hAnsi="Traditional Arabic" w:cs="Traditional Arabic" w:hint="cs"/>
          <w:sz w:val="32"/>
          <w:szCs w:val="32"/>
          <w:rtl/>
          <w:lang w:bidi="ar-DZ"/>
        </w:rPr>
        <w:t>الشكل</w:t>
      </w:r>
      <w:r w:rsidRPr="002C10B5">
        <w:rPr>
          <w:rFonts w:ascii="Traditional Arabic" w:hAnsi="Traditional Arabic" w:cs="Traditional Arabic"/>
          <w:sz w:val="32"/>
          <w:szCs w:val="32"/>
          <w:rtl/>
          <w:lang w:bidi="ar-DZ"/>
        </w:rPr>
        <w:t xml:space="preserve"> رقم </w:t>
      </w:r>
      <w:r w:rsidR="007B0131">
        <w:rPr>
          <w:rFonts w:ascii="Traditional Arabic" w:hAnsi="Traditional Arabic" w:cs="Traditional Arabic" w:hint="cs"/>
          <w:sz w:val="24"/>
          <w:szCs w:val="24"/>
          <w:rtl/>
          <w:lang w:bidi="ar-DZ"/>
        </w:rPr>
        <w:t>26</w:t>
      </w:r>
      <w:r w:rsidRPr="002C10B5">
        <w:rPr>
          <w:rFonts w:ascii="Traditional Arabic" w:hAnsi="Traditional Arabic" w:cs="Traditional Arabic"/>
          <w:sz w:val="32"/>
          <w:szCs w:val="32"/>
          <w:rtl/>
          <w:lang w:bidi="ar-DZ"/>
        </w:rPr>
        <w:t xml:space="preserve"> المستوى النسبي للهجرة إلى الخارج في البلدان الرئيسية المرسلة في الشرق الأوسط. أما بالنسبة إلى الهجرة العربية إلى الخليج، تشير التقديرات إلى استقطاب السعودية عدد كبير من المهاجرين من الأردن واليمن (أي</w:t>
      </w:r>
      <w:r w:rsidR="001939C0">
        <w:rPr>
          <w:rFonts w:ascii="Traditional Arabic" w:hAnsi="Traditional Arabic" w:cs="Traditional Arabic" w:hint="cs"/>
          <w:sz w:val="32"/>
          <w:szCs w:val="32"/>
          <w:rtl/>
          <w:lang w:bidi="ar-DZ"/>
        </w:rPr>
        <w:t xml:space="preserve"> حوالي</w:t>
      </w:r>
      <w:r w:rsidRPr="002C10B5">
        <w:rPr>
          <w:rFonts w:ascii="Traditional Arabic" w:hAnsi="Traditional Arabic" w:cs="Traditional Arabic"/>
          <w:sz w:val="32"/>
          <w:szCs w:val="32"/>
          <w:rtl/>
          <w:lang w:bidi="ar-DZ"/>
        </w:rPr>
        <w:t xml:space="preserve"> </w:t>
      </w:r>
      <w:r w:rsidRPr="002C10B5">
        <w:rPr>
          <w:rFonts w:ascii="Traditional Arabic" w:hAnsi="Traditional Arabic" w:cs="Traditional Arabic"/>
          <w:sz w:val="24"/>
          <w:szCs w:val="24"/>
          <w:rtl/>
          <w:lang w:bidi="ar-DZ"/>
        </w:rPr>
        <w:t xml:space="preserve">5% </w:t>
      </w:r>
      <w:r w:rsidRPr="002C10B5">
        <w:rPr>
          <w:rFonts w:ascii="Traditional Arabic" w:hAnsi="Traditional Arabic" w:cs="Traditional Arabic"/>
          <w:sz w:val="32"/>
          <w:szCs w:val="32"/>
          <w:rtl/>
          <w:lang w:bidi="ar-DZ"/>
        </w:rPr>
        <w:t>من السكان في سن العمل لكل بلد من البلدي</w:t>
      </w:r>
      <w:r w:rsidR="000F0BB0">
        <w:rPr>
          <w:rFonts w:ascii="Traditional Arabic" w:hAnsi="Traditional Arabic" w:cs="Traditional Arabic"/>
          <w:sz w:val="32"/>
          <w:szCs w:val="32"/>
          <w:rtl/>
          <w:lang w:bidi="ar-DZ"/>
        </w:rPr>
        <w:t>ن)، ومن سوريا ولبنان بدرجة أقل.</w:t>
      </w:r>
      <w:r w:rsidRPr="002C10B5">
        <w:rPr>
          <w:rFonts w:ascii="Traditional Arabic" w:hAnsi="Traditional Arabic" w:cs="Traditional Arabic"/>
          <w:sz w:val="32"/>
          <w:szCs w:val="32"/>
          <w:rtl/>
          <w:lang w:bidi="ar-DZ"/>
        </w:rPr>
        <w:t xml:space="preserve"> فضلا عن ذلك، تظهر البيانات أيضا وجود عدد كبير من المهاجرين اللبنانيين في العام </w:t>
      </w:r>
      <w:r w:rsidRPr="002C10B5">
        <w:rPr>
          <w:rFonts w:ascii="Traditional Arabic" w:hAnsi="Traditional Arabic" w:cs="Traditional Arabic"/>
          <w:sz w:val="24"/>
          <w:szCs w:val="24"/>
          <w:rtl/>
          <w:lang w:bidi="ar-DZ"/>
        </w:rPr>
        <w:t xml:space="preserve">2005 </w:t>
      </w:r>
      <w:r w:rsidRPr="002C10B5">
        <w:rPr>
          <w:rFonts w:ascii="Traditional Arabic" w:hAnsi="Traditional Arabic" w:cs="Traditional Arabic"/>
          <w:sz w:val="32"/>
          <w:szCs w:val="32"/>
          <w:rtl/>
          <w:lang w:bidi="ar-DZ"/>
        </w:rPr>
        <w:t xml:space="preserve">في الاقتصاديات المتطورة، أي ما يعادل سدس السكان اللبنانيين في سن العمل. وبالنسبة إلى العراق، </w:t>
      </w:r>
      <w:r w:rsidRPr="002C10B5">
        <w:rPr>
          <w:rFonts w:ascii="Traditional Arabic" w:hAnsi="Traditional Arabic" w:cs="Traditional Arabic"/>
          <w:sz w:val="32"/>
          <w:szCs w:val="32"/>
          <w:rtl/>
          <w:lang w:bidi="ar-DZ"/>
        </w:rPr>
        <w:lastRenderedPageBreak/>
        <w:t xml:space="preserve">الأردن، سوريا واليمن فلا تعتبر البلدان الصناعية مقصد المهاجرين لهذه المنطقة العربية، فهي لا تستقطب أكثر من </w:t>
      </w:r>
      <w:r w:rsidRPr="002C10B5">
        <w:rPr>
          <w:rFonts w:ascii="Traditional Arabic" w:hAnsi="Traditional Arabic" w:cs="Traditional Arabic"/>
          <w:sz w:val="24"/>
          <w:szCs w:val="24"/>
          <w:rtl/>
          <w:lang w:bidi="ar-DZ"/>
        </w:rPr>
        <w:t>2</w:t>
      </w:r>
      <w:r w:rsidRPr="002C10B5">
        <w:rPr>
          <w:rFonts w:ascii="Traditional Arabic" w:hAnsi="Traditional Arabic" w:cs="Traditional Arabic"/>
          <w:sz w:val="32"/>
          <w:szCs w:val="32"/>
          <w:rtl/>
          <w:lang w:bidi="ar-DZ"/>
        </w:rPr>
        <w:t xml:space="preserve"> إلى </w:t>
      </w:r>
      <w:r w:rsidRPr="002C10B5">
        <w:rPr>
          <w:rFonts w:ascii="Traditional Arabic" w:hAnsi="Traditional Arabic" w:cs="Traditional Arabic"/>
          <w:sz w:val="24"/>
          <w:szCs w:val="24"/>
          <w:rtl/>
          <w:lang w:bidi="ar-DZ"/>
        </w:rPr>
        <w:t xml:space="preserve">3% </w:t>
      </w:r>
      <w:r w:rsidRPr="002C10B5">
        <w:rPr>
          <w:rFonts w:ascii="Traditional Arabic" w:hAnsi="Traditional Arabic" w:cs="Traditional Arabic"/>
          <w:sz w:val="32"/>
          <w:szCs w:val="32"/>
          <w:rtl/>
          <w:lang w:bidi="ar-DZ"/>
        </w:rPr>
        <w:t xml:space="preserve">من السكان في سن العمل. </w:t>
      </w:r>
    </w:p>
    <w:p w:rsidR="007041B3" w:rsidRDefault="008D4D71" w:rsidP="0067613E">
      <w:pPr>
        <w:tabs>
          <w:tab w:val="right" w:pos="567"/>
        </w:tabs>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الشكل رقم </w:t>
      </w:r>
      <w:r w:rsidR="007B0131">
        <w:rPr>
          <w:rFonts w:ascii="Traditional Arabic" w:hAnsi="Traditional Arabic" w:cs="Traditional Arabic" w:hint="cs"/>
          <w:sz w:val="24"/>
          <w:szCs w:val="24"/>
          <w:rtl/>
          <w:lang w:bidi="ar-DZ"/>
        </w:rPr>
        <w:t>26</w:t>
      </w:r>
      <w:r w:rsidR="0082131A" w:rsidRPr="0041055F">
        <w:rPr>
          <w:rFonts w:ascii="Traditional Arabic" w:hAnsi="Traditional Arabic" w:cs="Traditional Arabic"/>
          <w:sz w:val="32"/>
          <w:szCs w:val="32"/>
          <w:rtl/>
          <w:lang w:bidi="ar-DZ"/>
        </w:rPr>
        <w:t>: وجهة الهجرة إلى الخارج</w:t>
      </w:r>
      <w:r w:rsidR="007041B3" w:rsidRPr="007041B3">
        <w:rPr>
          <w:rFonts w:ascii="Traditional Arabic" w:hAnsi="Traditional Arabic" w:cs="Traditional Arabic"/>
          <w:sz w:val="32"/>
          <w:szCs w:val="32"/>
          <w:rtl/>
          <w:lang w:bidi="ar-DZ"/>
        </w:rPr>
        <w:t xml:space="preserve"> </w:t>
      </w:r>
      <w:r w:rsidR="007041B3">
        <w:rPr>
          <w:rFonts w:ascii="Traditional Arabic" w:hAnsi="Traditional Arabic" w:cs="Traditional Arabic" w:hint="cs"/>
          <w:sz w:val="32"/>
          <w:szCs w:val="32"/>
          <w:rtl/>
          <w:lang w:bidi="ar-DZ"/>
        </w:rPr>
        <w:t>ل</w:t>
      </w:r>
      <w:r w:rsidR="007041B3" w:rsidRPr="002C10B5">
        <w:rPr>
          <w:rFonts w:ascii="Traditional Arabic" w:hAnsi="Traditional Arabic" w:cs="Traditional Arabic"/>
          <w:sz w:val="32"/>
          <w:szCs w:val="32"/>
          <w:rtl/>
          <w:lang w:bidi="ar-DZ"/>
        </w:rPr>
        <w:t>لبلدان الرئيسية المرسلة في الشرق الأوسط</w:t>
      </w:r>
      <w:r w:rsidR="00573F87">
        <w:rPr>
          <w:rFonts w:ascii="Traditional Arabic" w:hAnsi="Traditional Arabic" w:cs="Traditional Arabic" w:hint="cs"/>
          <w:sz w:val="32"/>
          <w:szCs w:val="32"/>
          <w:rtl/>
          <w:lang w:bidi="ar-DZ"/>
        </w:rPr>
        <w:t xml:space="preserve"> خلال عام </w:t>
      </w:r>
      <w:r w:rsidR="00573F87" w:rsidRPr="00573F87">
        <w:rPr>
          <w:rFonts w:ascii="Traditional Arabic" w:hAnsi="Traditional Arabic" w:cs="Traditional Arabic" w:hint="cs"/>
          <w:sz w:val="24"/>
          <w:szCs w:val="24"/>
          <w:rtl/>
          <w:lang w:bidi="ar-DZ"/>
        </w:rPr>
        <w:t>2005</w:t>
      </w:r>
    </w:p>
    <w:p w:rsidR="0082131A" w:rsidRPr="0041055F" w:rsidRDefault="0082131A" w:rsidP="0067613E">
      <w:pPr>
        <w:tabs>
          <w:tab w:val="right" w:pos="567"/>
        </w:tabs>
        <w:bidi/>
        <w:spacing w:after="0" w:line="240" w:lineRule="auto"/>
        <w:jc w:val="center"/>
        <w:rPr>
          <w:rFonts w:ascii="Traditional Arabic" w:hAnsi="Traditional Arabic" w:cs="Traditional Arabic"/>
          <w:sz w:val="32"/>
          <w:szCs w:val="32"/>
          <w:rtl/>
          <w:lang w:bidi="ar-DZ"/>
        </w:rPr>
      </w:pPr>
      <w:r w:rsidRPr="0041055F">
        <w:rPr>
          <w:rFonts w:ascii="Traditional Arabic" w:hAnsi="Traditional Arabic" w:cs="Traditional Arabic"/>
          <w:sz w:val="32"/>
          <w:szCs w:val="32"/>
          <w:rtl/>
          <w:lang w:bidi="ar-DZ"/>
        </w:rPr>
        <w:t>(</w:t>
      </w:r>
      <w:r w:rsidRPr="008D4D71">
        <w:rPr>
          <w:rFonts w:ascii="Traditional Arabic" w:hAnsi="Traditional Arabic" w:cs="Traditional Arabic"/>
          <w:sz w:val="28"/>
          <w:szCs w:val="28"/>
          <w:rtl/>
          <w:lang w:bidi="ar-DZ"/>
        </w:rPr>
        <w:t>تقديرات العمال المهاجرين نسبة إلى السكان في سن العمل في بلدان المرسلة</w:t>
      </w:r>
      <w:r w:rsidR="008D4D71">
        <w:rPr>
          <w:rFonts w:ascii="Traditional Arabic" w:hAnsi="Traditional Arabic" w:cs="Traditional Arabic"/>
          <w:sz w:val="32"/>
          <w:szCs w:val="32"/>
          <w:rtl/>
          <w:lang w:bidi="ar-DZ"/>
        </w:rPr>
        <w:t>)</w:t>
      </w:r>
    </w:p>
    <w:p w:rsidR="0082131A" w:rsidRPr="002C10B5" w:rsidRDefault="0082131A" w:rsidP="0082131A">
      <w:pPr>
        <w:tabs>
          <w:tab w:val="right" w:pos="567"/>
        </w:tabs>
        <w:bidi/>
        <w:spacing w:after="0"/>
        <w:jc w:val="both"/>
        <w:rPr>
          <w:rFonts w:ascii="Traditional Arabic" w:hAnsi="Traditional Arabic" w:cs="Traditional Arabic"/>
          <w:sz w:val="28"/>
          <w:szCs w:val="28"/>
          <w:lang w:bidi="ar-DZ"/>
        </w:rPr>
      </w:pPr>
      <w:r w:rsidRPr="002C10B5">
        <w:rPr>
          <w:rFonts w:ascii="Traditional Arabic" w:hAnsi="Traditional Arabic" w:cs="Traditional Arabic"/>
          <w:noProof/>
          <w:sz w:val="28"/>
          <w:szCs w:val="28"/>
          <w:rtl/>
        </w:rPr>
        <w:drawing>
          <wp:inline distT="0" distB="0" distL="0" distR="0">
            <wp:extent cx="4896959" cy="2026310"/>
            <wp:effectExtent l="1905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4905562" cy="2029870"/>
                    </a:xfrm>
                    <a:prstGeom prst="rect">
                      <a:avLst/>
                    </a:prstGeom>
                    <a:noFill/>
                    <a:ln w="9525">
                      <a:noFill/>
                      <a:miter lim="800000"/>
                      <a:headEnd/>
                      <a:tailEnd/>
                    </a:ln>
                  </pic:spPr>
                </pic:pic>
              </a:graphicData>
            </a:graphic>
          </wp:inline>
        </w:drawing>
      </w:r>
    </w:p>
    <w:p w:rsidR="0082131A" w:rsidRPr="00A57B95" w:rsidRDefault="00142D20" w:rsidP="00142D20">
      <w:pPr>
        <w:tabs>
          <w:tab w:val="right" w:pos="567"/>
          <w:tab w:val="right" w:pos="1132"/>
          <w:tab w:val="left" w:pos="3248"/>
        </w:tabs>
        <w:bidi/>
        <w:rPr>
          <w:rFonts w:ascii="Traditional Arabic" w:hAnsi="Traditional Arabic" w:cs="Traditional Arabic"/>
          <w:sz w:val="28"/>
          <w:szCs w:val="28"/>
          <w:rtl/>
          <w:lang w:bidi="ar-DZ"/>
        </w:rPr>
      </w:pPr>
      <w:r>
        <w:rPr>
          <w:rFonts w:ascii="Traditional Arabic" w:hAnsi="Traditional Arabic" w:cs="Traditional Arabic"/>
          <w:sz w:val="28"/>
          <w:szCs w:val="28"/>
          <w:lang w:bidi="ar-DZ"/>
        </w:rPr>
        <w:t xml:space="preserve">                 </w:t>
      </w:r>
      <w:r w:rsidR="0082131A" w:rsidRPr="00A57B95">
        <w:rPr>
          <w:rFonts w:ascii="Traditional Arabic" w:hAnsi="Traditional Arabic" w:cs="Traditional Arabic"/>
          <w:sz w:val="28"/>
          <w:szCs w:val="28"/>
          <w:rtl/>
          <w:lang w:bidi="ar-DZ"/>
        </w:rPr>
        <w:t xml:space="preserve">المصدر: كريستينا برينت، طارق الحق، نورا كمال: مرجع سابق، ص </w:t>
      </w:r>
      <w:r w:rsidR="0082131A" w:rsidRPr="00A57B95">
        <w:rPr>
          <w:rFonts w:ascii="Traditional Arabic" w:hAnsi="Traditional Arabic" w:cs="Traditional Arabic"/>
          <w:sz w:val="24"/>
          <w:szCs w:val="24"/>
          <w:rtl/>
          <w:lang w:bidi="ar-DZ"/>
        </w:rPr>
        <w:t>15</w:t>
      </w:r>
      <w:r w:rsidR="0082131A" w:rsidRPr="00A57B95">
        <w:rPr>
          <w:rFonts w:ascii="Traditional Arabic" w:hAnsi="Traditional Arabic" w:cs="Traditional Arabic"/>
          <w:sz w:val="28"/>
          <w:szCs w:val="28"/>
          <w:rtl/>
          <w:lang w:bidi="ar-DZ"/>
        </w:rPr>
        <w:t>.</w:t>
      </w:r>
    </w:p>
    <w:p w:rsidR="0082131A" w:rsidRPr="002C10B5" w:rsidRDefault="0082131A" w:rsidP="0082131A">
      <w:pPr>
        <w:tabs>
          <w:tab w:val="right" w:pos="567"/>
          <w:tab w:val="left" w:pos="3248"/>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2C4212">
        <w:rPr>
          <w:rFonts w:ascii="Traditional Arabic" w:hAnsi="Traditional Arabic" w:cs="Traditional Arabic"/>
          <w:sz w:val="32"/>
          <w:szCs w:val="32"/>
          <w:rtl/>
          <w:lang w:bidi="ar-DZ"/>
        </w:rPr>
        <w:t xml:space="preserve">  استنادا إلى ما تقدم</w:t>
      </w:r>
      <w:r w:rsidRPr="002C10B5">
        <w:rPr>
          <w:rFonts w:ascii="Traditional Arabic" w:hAnsi="Traditional Arabic" w:cs="Traditional Arabic"/>
          <w:sz w:val="32"/>
          <w:szCs w:val="32"/>
          <w:rtl/>
          <w:lang w:bidi="ar-DZ"/>
        </w:rPr>
        <w:t>، يمكن استخلاص التأثيرات ال</w:t>
      </w:r>
      <w:r w:rsidR="00C15322">
        <w:rPr>
          <w:rFonts w:ascii="Traditional Arabic" w:hAnsi="Traditional Arabic" w:cs="Traditional Arabic"/>
          <w:sz w:val="32"/>
          <w:szCs w:val="32"/>
          <w:rtl/>
          <w:lang w:bidi="ar-DZ"/>
        </w:rPr>
        <w:t>ممكنة للأزمة المالية</w:t>
      </w:r>
      <w:r w:rsidRPr="002C10B5">
        <w:rPr>
          <w:rFonts w:ascii="Traditional Arabic" w:hAnsi="Traditional Arabic" w:cs="Traditional Arabic"/>
          <w:sz w:val="32"/>
          <w:szCs w:val="32"/>
          <w:rtl/>
          <w:lang w:bidi="ar-DZ"/>
        </w:rPr>
        <w:t>. فقد تتأثر الأردن، اليمن ولبنان بشكل كبير في حال تزايد البطالة في دول الخليج، وما يترتب على ذلك من تزايد في عدد المهاجرين العائدين. فضلا عن ذلك، بالنسبة إلى لبنان، قد يتفاقم تأثير الأزمة في حال عودة المهاجري</w:t>
      </w:r>
      <w:r w:rsidR="00C15322">
        <w:rPr>
          <w:rFonts w:ascii="Traditional Arabic" w:hAnsi="Traditional Arabic" w:cs="Traditional Arabic"/>
          <w:sz w:val="32"/>
          <w:szCs w:val="32"/>
          <w:rtl/>
          <w:lang w:bidi="ar-DZ"/>
        </w:rPr>
        <w:t>ن من البلدان الصناعية</w:t>
      </w:r>
      <w:r w:rsidRPr="002C10B5">
        <w:rPr>
          <w:rFonts w:ascii="Traditional Arabic" w:hAnsi="Traditional Arabic" w:cs="Traditional Arabic"/>
          <w:sz w:val="32"/>
          <w:szCs w:val="32"/>
          <w:rtl/>
          <w:lang w:bidi="ar-DZ"/>
        </w:rPr>
        <w:t>. لكن تعتمد التأثيرات الممكنة على البنية ا</w:t>
      </w:r>
      <w:r>
        <w:rPr>
          <w:rFonts w:ascii="Traditional Arabic" w:hAnsi="Traditional Arabic" w:cs="Traditional Arabic"/>
          <w:sz w:val="32"/>
          <w:szCs w:val="32"/>
          <w:rtl/>
          <w:lang w:bidi="ar-DZ"/>
        </w:rPr>
        <w:t>لمهنية للمهاجرين في هذه البلدان</w:t>
      </w:r>
      <w:r w:rsidRPr="002C10B5">
        <w:rPr>
          <w:rFonts w:ascii="Traditional Arabic" w:hAnsi="Traditional Arabic" w:cs="Traditional Arabic"/>
          <w:sz w:val="32"/>
          <w:szCs w:val="32"/>
          <w:rtl/>
          <w:lang w:bidi="ar-DZ"/>
        </w:rPr>
        <w:t xml:space="preserve"> و</w:t>
      </w:r>
      <w:r>
        <w:rPr>
          <w:rFonts w:ascii="Traditional Arabic" w:hAnsi="Traditional Arabic" w:cs="Traditional Arabic"/>
          <w:sz w:val="32"/>
          <w:szCs w:val="32"/>
          <w:rtl/>
          <w:lang w:bidi="ar-DZ"/>
        </w:rPr>
        <w:t>نوع إقامتهم واندماجهم الاجتماعي</w:t>
      </w:r>
      <w:r w:rsidRPr="002C10B5">
        <w:rPr>
          <w:rFonts w:ascii="Traditional Arabic" w:hAnsi="Traditional Arabic" w:cs="Traditional Arabic"/>
          <w:sz w:val="32"/>
          <w:szCs w:val="32"/>
          <w:rtl/>
          <w:lang w:bidi="ar-DZ"/>
        </w:rPr>
        <w:t xml:space="preserve"> والفرص البديلة للاستخدام.    </w:t>
      </w:r>
    </w:p>
    <w:p w:rsidR="00841016" w:rsidRDefault="0082131A" w:rsidP="00656FC6">
      <w:pPr>
        <w:tabs>
          <w:tab w:val="right" w:pos="567"/>
          <w:tab w:val="left" w:pos="3248"/>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2C10B5">
        <w:rPr>
          <w:rFonts w:ascii="Traditional Arabic" w:hAnsi="Traditional Arabic" w:cs="Traditional Arabic"/>
          <w:sz w:val="32"/>
          <w:szCs w:val="32"/>
          <w:rtl/>
          <w:lang w:bidi="ar-DZ"/>
        </w:rPr>
        <w:t xml:space="preserve">يظهر </w:t>
      </w:r>
      <w:r w:rsidR="00DC024E">
        <w:rPr>
          <w:rFonts w:ascii="Traditional Arabic" w:hAnsi="Traditional Arabic" w:cs="Traditional Arabic" w:hint="cs"/>
          <w:sz w:val="32"/>
          <w:szCs w:val="32"/>
          <w:rtl/>
          <w:lang w:bidi="ar-DZ"/>
        </w:rPr>
        <w:t>الشكل رقم</w:t>
      </w:r>
      <w:r w:rsidRPr="002C10B5">
        <w:rPr>
          <w:rFonts w:ascii="Traditional Arabic" w:hAnsi="Traditional Arabic" w:cs="Traditional Arabic"/>
          <w:sz w:val="32"/>
          <w:szCs w:val="32"/>
          <w:rtl/>
          <w:lang w:bidi="ar-DZ"/>
        </w:rPr>
        <w:t xml:space="preserve"> </w:t>
      </w:r>
      <w:r w:rsidR="00DC024E">
        <w:rPr>
          <w:rFonts w:ascii="Traditional Arabic" w:hAnsi="Traditional Arabic" w:cs="Traditional Arabic" w:hint="cs"/>
          <w:sz w:val="24"/>
          <w:szCs w:val="24"/>
          <w:rtl/>
          <w:lang w:bidi="ar-DZ"/>
        </w:rPr>
        <w:t>27</w:t>
      </w:r>
      <w:r w:rsidRPr="002C10B5">
        <w:rPr>
          <w:rFonts w:ascii="Traditional Arabic" w:hAnsi="Traditional Arabic" w:cs="Traditional Arabic"/>
          <w:sz w:val="24"/>
          <w:szCs w:val="24"/>
          <w:rtl/>
          <w:lang w:bidi="ar-DZ"/>
        </w:rPr>
        <w:t xml:space="preserve"> </w:t>
      </w:r>
      <w:r w:rsidRPr="002C10B5">
        <w:rPr>
          <w:rFonts w:ascii="Traditional Arabic" w:hAnsi="Traditional Arabic" w:cs="Traditional Arabic"/>
          <w:sz w:val="32"/>
          <w:szCs w:val="32"/>
          <w:rtl/>
          <w:lang w:bidi="ar-DZ"/>
        </w:rPr>
        <w:t>مصادر اله</w:t>
      </w:r>
      <w:r>
        <w:rPr>
          <w:rFonts w:ascii="Traditional Arabic" w:hAnsi="Traditional Arabic" w:cs="Traditional Arabic"/>
          <w:sz w:val="32"/>
          <w:szCs w:val="32"/>
          <w:rtl/>
          <w:lang w:bidi="ar-DZ"/>
        </w:rPr>
        <w:t>جرة في الشرق الأوسط ل</w:t>
      </w:r>
      <w:r w:rsidRPr="002C10B5">
        <w:rPr>
          <w:rFonts w:ascii="Traditional Arabic" w:hAnsi="Traditional Arabic" w:cs="Traditional Arabic"/>
          <w:sz w:val="32"/>
          <w:szCs w:val="32"/>
          <w:rtl/>
          <w:lang w:bidi="ar-DZ"/>
        </w:rPr>
        <w:t xml:space="preserve">عدد من بلدان الاستقبال الرئيسية. بالنسبة إلى دول الخليج التي تتوفر بشأنها التقديرات أي البحرين، الكويت، عمان والسعودية، تتوافد نسبة كبيرة من العمال المهاجرين من شرق آسيا وجنوب شرق آسيا. وبالمقارنة مع ذلك، لا يشكل المهاجرون الوافدون من دول شرق أوسطية أخرى سوى نسبة قليلة نسبيا من </w:t>
      </w:r>
      <w:r w:rsidRPr="002C10B5">
        <w:rPr>
          <w:rFonts w:ascii="Traditional Arabic" w:hAnsi="Traditional Arabic" w:cs="Traditional Arabic" w:hint="cs"/>
          <w:sz w:val="32"/>
          <w:szCs w:val="32"/>
          <w:rtl/>
          <w:lang w:bidi="ar-DZ"/>
        </w:rPr>
        <w:t>إجمالي</w:t>
      </w:r>
      <w:r w:rsidRPr="002C10B5">
        <w:rPr>
          <w:rFonts w:ascii="Traditional Arabic" w:hAnsi="Traditional Arabic" w:cs="Traditional Arabic"/>
          <w:sz w:val="32"/>
          <w:szCs w:val="32"/>
          <w:rtl/>
          <w:lang w:bidi="ar-DZ"/>
        </w:rPr>
        <w:t xml:space="preserve"> المهاجرين.</w:t>
      </w:r>
      <w:r w:rsidR="00656FC6">
        <w:rPr>
          <w:rFonts w:ascii="Traditional Arabic" w:hAnsi="Traditional Arabic" w:cs="Traditional Arabic" w:hint="cs"/>
          <w:sz w:val="32"/>
          <w:szCs w:val="32"/>
          <w:rtl/>
          <w:lang w:bidi="ar-DZ"/>
        </w:rPr>
        <w:t xml:space="preserve">  </w:t>
      </w:r>
    </w:p>
    <w:p w:rsidR="008C4716" w:rsidRDefault="008C4716" w:rsidP="008C4716">
      <w:pPr>
        <w:tabs>
          <w:tab w:val="right" w:pos="567"/>
          <w:tab w:val="left" w:pos="3248"/>
        </w:tabs>
        <w:bidi/>
        <w:jc w:val="both"/>
        <w:rPr>
          <w:rFonts w:ascii="Traditional Arabic" w:hAnsi="Traditional Arabic" w:cs="Traditional Arabic"/>
          <w:sz w:val="32"/>
          <w:szCs w:val="32"/>
          <w:rtl/>
          <w:lang w:bidi="ar-DZ"/>
        </w:rPr>
      </w:pPr>
    </w:p>
    <w:p w:rsidR="008C4716" w:rsidRDefault="008C4716" w:rsidP="008C4716">
      <w:pPr>
        <w:tabs>
          <w:tab w:val="right" w:pos="567"/>
          <w:tab w:val="left" w:pos="3248"/>
        </w:tabs>
        <w:bidi/>
        <w:jc w:val="both"/>
        <w:rPr>
          <w:rFonts w:ascii="Traditional Arabic" w:hAnsi="Traditional Arabic" w:cs="Traditional Arabic"/>
          <w:sz w:val="32"/>
          <w:szCs w:val="32"/>
          <w:rtl/>
          <w:lang w:bidi="ar-DZ"/>
        </w:rPr>
      </w:pPr>
    </w:p>
    <w:p w:rsidR="008C4716" w:rsidRDefault="008C4716" w:rsidP="008C4716">
      <w:pPr>
        <w:tabs>
          <w:tab w:val="right" w:pos="567"/>
          <w:tab w:val="left" w:pos="3248"/>
        </w:tabs>
        <w:bidi/>
        <w:jc w:val="both"/>
        <w:rPr>
          <w:rFonts w:ascii="Traditional Arabic" w:hAnsi="Traditional Arabic" w:cs="Traditional Arabic"/>
          <w:sz w:val="32"/>
          <w:szCs w:val="32"/>
          <w:rtl/>
          <w:lang w:bidi="ar-DZ"/>
        </w:rPr>
      </w:pPr>
    </w:p>
    <w:p w:rsidR="00904389" w:rsidRDefault="00A57B95" w:rsidP="0067613E">
      <w:pPr>
        <w:tabs>
          <w:tab w:val="right" w:pos="567"/>
        </w:tabs>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الشكل رقم</w:t>
      </w:r>
      <w:r w:rsidR="0082131A" w:rsidRPr="00A57B95">
        <w:rPr>
          <w:rFonts w:ascii="Traditional Arabic" w:hAnsi="Traditional Arabic" w:cs="Traditional Arabic"/>
          <w:sz w:val="32"/>
          <w:szCs w:val="32"/>
          <w:rtl/>
          <w:lang w:bidi="ar-DZ"/>
        </w:rPr>
        <w:t xml:space="preserve"> </w:t>
      </w:r>
      <w:r w:rsidR="00C779F9">
        <w:rPr>
          <w:rFonts w:ascii="Traditional Arabic" w:hAnsi="Traditional Arabic" w:cs="Traditional Arabic" w:hint="cs"/>
          <w:sz w:val="24"/>
          <w:szCs w:val="24"/>
          <w:rtl/>
          <w:lang w:bidi="ar-DZ"/>
        </w:rPr>
        <w:t>27</w:t>
      </w:r>
      <w:r w:rsidR="0082131A" w:rsidRPr="00A57B95">
        <w:rPr>
          <w:rFonts w:ascii="Traditional Arabic" w:hAnsi="Traditional Arabic" w:cs="Traditional Arabic"/>
          <w:sz w:val="32"/>
          <w:szCs w:val="32"/>
          <w:rtl/>
          <w:lang w:bidi="ar-DZ"/>
        </w:rPr>
        <w:t xml:space="preserve">: </w:t>
      </w:r>
      <w:r w:rsidR="00666790">
        <w:rPr>
          <w:rFonts w:ascii="Traditional Arabic" w:hAnsi="Traditional Arabic" w:cs="Traditional Arabic" w:hint="cs"/>
          <w:sz w:val="32"/>
          <w:szCs w:val="32"/>
          <w:rtl/>
          <w:lang w:bidi="ar-DZ"/>
        </w:rPr>
        <w:t>ال</w:t>
      </w:r>
      <w:r w:rsidR="00666790" w:rsidRPr="002C10B5">
        <w:rPr>
          <w:rFonts w:ascii="Traditional Arabic" w:hAnsi="Traditional Arabic" w:cs="Traditional Arabic"/>
          <w:sz w:val="32"/>
          <w:szCs w:val="32"/>
          <w:rtl/>
          <w:lang w:bidi="ar-DZ"/>
        </w:rPr>
        <w:t>بلدان</w:t>
      </w:r>
      <w:r w:rsidR="009E1890" w:rsidRPr="009E1890">
        <w:rPr>
          <w:rFonts w:ascii="Traditional Arabic" w:hAnsi="Traditional Arabic" w:cs="Traditional Arabic"/>
          <w:sz w:val="32"/>
          <w:szCs w:val="32"/>
          <w:rtl/>
          <w:lang w:bidi="ar-DZ"/>
        </w:rPr>
        <w:t xml:space="preserve"> </w:t>
      </w:r>
      <w:r w:rsidR="009E1890" w:rsidRPr="002C10B5">
        <w:rPr>
          <w:rFonts w:ascii="Traditional Arabic" w:hAnsi="Traditional Arabic" w:cs="Traditional Arabic"/>
          <w:sz w:val="32"/>
          <w:szCs w:val="32"/>
          <w:rtl/>
          <w:lang w:bidi="ar-DZ"/>
        </w:rPr>
        <w:t>الرئيسية</w:t>
      </w:r>
      <w:r w:rsidR="00666790" w:rsidRPr="002C10B5">
        <w:rPr>
          <w:rFonts w:ascii="Traditional Arabic" w:hAnsi="Traditional Arabic" w:cs="Traditional Arabic"/>
          <w:sz w:val="32"/>
          <w:szCs w:val="32"/>
          <w:rtl/>
          <w:lang w:bidi="ar-DZ"/>
        </w:rPr>
        <w:t xml:space="preserve"> </w:t>
      </w:r>
      <w:r w:rsidR="00666790">
        <w:rPr>
          <w:rFonts w:ascii="Traditional Arabic" w:hAnsi="Traditional Arabic" w:cs="Traditional Arabic" w:hint="cs"/>
          <w:sz w:val="32"/>
          <w:szCs w:val="32"/>
          <w:rtl/>
          <w:lang w:bidi="ar-DZ"/>
        </w:rPr>
        <w:t>المستقبلة</w:t>
      </w:r>
      <w:r w:rsidR="00666790" w:rsidRPr="002C10B5">
        <w:rPr>
          <w:rFonts w:ascii="Traditional Arabic" w:hAnsi="Traditional Arabic" w:cs="Traditional Arabic"/>
          <w:sz w:val="32"/>
          <w:szCs w:val="32"/>
          <w:rtl/>
          <w:lang w:bidi="ar-DZ"/>
        </w:rPr>
        <w:t xml:space="preserve"> </w:t>
      </w:r>
      <w:r w:rsidR="00666790">
        <w:rPr>
          <w:rFonts w:ascii="Traditional Arabic" w:hAnsi="Traditional Arabic" w:cs="Traditional Arabic" w:hint="cs"/>
          <w:sz w:val="32"/>
          <w:szCs w:val="32"/>
          <w:rtl/>
          <w:lang w:bidi="ar-DZ"/>
        </w:rPr>
        <w:t xml:space="preserve">للمهاجرين </w:t>
      </w:r>
      <w:r w:rsidR="00326CE2">
        <w:rPr>
          <w:rFonts w:ascii="Traditional Arabic" w:hAnsi="Traditional Arabic" w:cs="Traditional Arabic" w:hint="cs"/>
          <w:sz w:val="32"/>
          <w:szCs w:val="32"/>
          <w:rtl/>
          <w:lang w:bidi="ar-DZ"/>
        </w:rPr>
        <w:t>في</w:t>
      </w:r>
      <w:r w:rsidR="00666790">
        <w:rPr>
          <w:rFonts w:ascii="Traditional Arabic" w:hAnsi="Traditional Arabic" w:cs="Traditional Arabic" w:hint="cs"/>
          <w:sz w:val="32"/>
          <w:szCs w:val="32"/>
          <w:rtl/>
          <w:lang w:bidi="ar-DZ"/>
        </w:rPr>
        <w:t xml:space="preserve"> </w:t>
      </w:r>
      <w:r w:rsidR="00904389">
        <w:rPr>
          <w:rFonts w:ascii="Traditional Arabic" w:hAnsi="Traditional Arabic" w:cs="Traditional Arabic"/>
          <w:sz w:val="32"/>
          <w:szCs w:val="32"/>
          <w:rtl/>
          <w:lang w:bidi="ar-DZ"/>
        </w:rPr>
        <w:t>الشرق الأوسط</w:t>
      </w:r>
      <w:r w:rsidR="0041683A">
        <w:rPr>
          <w:rFonts w:ascii="Traditional Arabic" w:hAnsi="Traditional Arabic" w:cs="Traditional Arabic" w:hint="cs"/>
          <w:sz w:val="32"/>
          <w:szCs w:val="32"/>
          <w:rtl/>
          <w:lang w:bidi="ar-DZ"/>
        </w:rPr>
        <w:t xml:space="preserve"> خلال عام </w:t>
      </w:r>
      <w:r w:rsidR="0041683A" w:rsidRPr="0041683A">
        <w:rPr>
          <w:rFonts w:ascii="Traditional Arabic" w:hAnsi="Traditional Arabic" w:cs="Traditional Arabic" w:hint="cs"/>
          <w:sz w:val="24"/>
          <w:szCs w:val="24"/>
          <w:rtl/>
          <w:lang w:bidi="ar-DZ"/>
        </w:rPr>
        <w:t>2005</w:t>
      </w:r>
    </w:p>
    <w:p w:rsidR="0082131A" w:rsidRPr="00A57B95" w:rsidRDefault="0082131A" w:rsidP="0067613E">
      <w:pPr>
        <w:tabs>
          <w:tab w:val="right" w:pos="567"/>
        </w:tabs>
        <w:bidi/>
        <w:spacing w:after="0" w:line="240" w:lineRule="auto"/>
        <w:jc w:val="center"/>
        <w:rPr>
          <w:rFonts w:ascii="Traditional Arabic" w:hAnsi="Traditional Arabic" w:cs="Traditional Arabic"/>
          <w:sz w:val="32"/>
          <w:szCs w:val="32"/>
          <w:rtl/>
          <w:lang w:bidi="ar-DZ"/>
        </w:rPr>
      </w:pPr>
      <w:r w:rsidRPr="00A57B95">
        <w:rPr>
          <w:rFonts w:ascii="Traditional Arabic" w:hAnsi="Traditional Arabic" w:cs="Traditional Arabic"/>
          <w:sz w:val="32"/>
          <w:szCs w:val="32"/>
          <w:rtl/>
          <w:lang w:bidi="ar-DZ"/>
        </w:rPr>
        <w:t>(</w:t>
      </w:r>
      <w:r w:rsidRPr="00A57B95">
        <w:rPr>
          <w:rFonts w:ascii="Traditional Arabic" w:hAnsi="Traditional Arabic" w:cs="Traditional Arabic"/>
          <w:sz w:val="28"/>
          <w:szCs w:val="28"/>
          <w:rtl/>
          <w:lang w:bidi="ar-DZ"/>
        </w:rPr>
        <w:t>تقديرات نسبة المهاجرين كنسبة مئوية من السكان في سن العمل في بلدان الاستقبال</w:t>
      </w:r>
      <w:r w:rsidR="00A57B95">
        <w:rPr>
          <w:rFonts w:ascii="Traditional Arabic" w:hAnsi="Traditional Arabic" w:cs="Traditional Arabic"/>
          <w:sz w:val="32"/>
          <w:szCs w:val="32"/>
          <w:rtl/>
          <w:lang w:bidi="ar-DZ"/>
        </w:rPr>
        <w:t>)</w:t>
      </w:r>
    </w:p>
    <w:p w:rsidR="0082131A" w:rsidRPr="002C10B5" w:rsidRDefault="0082131A" w:rsidP="0082131A">
      <w:pPr>
        <w:tabs>
          <w:tab w:val="right" w:pos="567"/>
          <w:tab w:val="left" w:pos="3248"/>
        </w:tabs>
        <w:bidi/>
        <w:spacing w:after="0"/>
        <w:jc w:val="center"/>
        <w:rPr>
          <w:rFonts w:ascii="Traditional Arabic" w:hAnsi="Traditional Arabic" w:cs="Traditional Arabic"/>
          <w:sz w:val="28"/>
          <w:szCs w:val="28"/>
          <w:rtl/>
          <w:lang w:bidi="ar-DZ"/>
        </w:rPr>
      </w:pPr>
      <w:r w:rsidRPr="002C10B5">
        <w:rPr>
          <w:rFonts w:ascii="Traditional Arabic" w:hAnsi="Traditional Arabic" w:cs="Traditional Arabic"/>
          <w:noProof/>
          <w:sz w:val="28"/>
          <w:szCs w:val="28"/>
          <w:rtl/>
        </w:rPr>
        <w:drawing>
          <wp:inline distT="0" distB="0" distL="0" distR="0">
            <wp:extent cx="4393270" cy="2311603"/>
            <wp:effectExtent l="19050" t="0" r="728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4400483" cy="2315398"/>
                    </a:xfrm>
                    <a:prstGeom prst="rect">
                      <a:avLst/>
                    </a:prstGeom>
                    <a:noFill/>
                    <a:ln w="9525">
                      <a:noFill/>
                      <a:miter lim="800000"/>
                      <a:headEnd/>
                      <a:tailEnd/>
                    </a:ln>
                  </pic:spPr>
                </pic:pic>
              </a:graphicData>
            </a:graphic>
          </wp:inline>
        </w:drawing>
      </w:r>
    </w:p>
    <w:p w:rsidR="0082131A" w:rsidRPr="004F6A5C" w:rsidRDefault="00142D20" w:rsidP="00142D20">
      <w:pPr>
        <w:tabs>
          <w:tab w:val="right" w:pos="567"/>
          <w:tab w:val="right" w:pos="1132"/>
          <w:tab w:val="left" w:pos="3248"/>
        </w:tabs>
        <w:bidi/>
        <w:spacing w:after="0"/>
        <w:rPr>
          <w:rFonts w:ascii="Traditional Arabic" w:hAnsi="Traditional Arabic" w:cs="Traditional Arabic"/>
          <w:sz w:val="32"/>
          <w:szCs w:val="32"/>
          <w:rtl/>
          <w:lang w:bidi="ar-DZ"/>
        </w:rPr>
      </w:pPr>
      <w:r>
        <w:rPr>
          <w:rFonts w:ascii="Traditional Arabic" w:hAnsi="Traditional Arabic" w:cs="Traditional Arabic"/>
          <w:sz w:val="28"/>
          <w:szCs w:val="28"/>
          <w:lang w:bidi="ar-DZ"/>
        </w:rPr>
        <w:t xml:space="preserve">                 </w:t>
      </w:r>
      <w:r w:rsidR="0082131A" w:rsidRPr="004F6A5C">
        <w:rPr>
          <w:rFonts w:ascii="Traditional Arabic" w:hAnsi="Traditional Arabic" w:cs="Traditional Arabic"/>
          <w:sz w:val="28"/>
          <w:szCs w:val="28"/>
          <w:rtl/>
          <w:lang w:bidi="ar-DZ"/>
        </w:rPr>
        <w:t xml:space="preserve">المصدر: كريستينا برينت، طارق الحق، نورا كمال: مرجع سابق، ص </w:t>
      </w:r>
      <w:r w:rsidR="0082131A" w:rsidRPr="000F447B">
        <w:rPr>
          <w:rFonts w:ascii="Traditional Arabic" w:hAnsi="Traditional Arabic" w:cs="Traditional Arabic"/>
          <w:sz w:val="24"/>
          <w:szCs w:val="24"/>
          <w:rtl/>
          <w:lang w:bidi="ar-DZ"/>
        </w:rPr>
        <w:t>16</w:t>
      </w:r>
      <w:r w:rsidR="0082131A" w:rsidRPr="004F6A5C">
        <w:rPr>
          <w:rFonts w:ascii="Traditional Arabic" w:hAnsi="Traditional Arabic" w:cs="Traditional Arabic"/>
          <w:sz w:val="28"/>
          <w:szCs w:val="28"/>
          <w:rtl/>
          <w:lang w:bidi="ar-DZ"/>
        </w:rPr>
        <w:t>.</w:t>
      </w:r>
    </w:p>
    <w:p w:rsidR="00EA1302" w:rsidRPr="002C10B5" w:rsidRDefault="0082131A" w:rsidP="00E3259E">
      <w:pPr>
        <w:tabs>
          <w:tab w:val="right" w:pos="567"/>
          <w:tab w:val="left" w:pos="3248"/>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2C10B5">
        <w:rPr>
          <w:rFonts w:ascii="Traditional Arabic" w:hAnsi="Traditional Arabic" w:cs="Traditional Arabic"/>
          <w:sz w:val="32"/>
          <w:szCs w:val="32"/>
          <w:rtl/>
          <w:lang w:bidi="ar-DZ"/>
        </w:rPr>
        <w:t>تؤكد هذه التقديرات الفرضية القائلة بأن تأثيرات الأزمة على فائض الموظفين في الخليج ستلحق ضررا كبيرا بالعمال الوافدين من آسيا ومناطق أخرى من العالم. ونظرا إلى اختلاف المهارات وقطاعات الاستخدام، يشير المراقبون إلى أن العمال الوافدين من الدول العربية هم أقل تأثيرا بتداعيات الأزمة بالمقارنة مع العمال الوافدين من جنوب آسيا</w:t>
      </w:r>
      <w:r w:rsidRPr="002C10B5">
        <w:rPr>
          <w:rStyle w:val="Appelnotedebasdep"/>
          <w:rFonts w:ascii="Traditional Arabic" w:hAnsi="Traditional Arabic" w:cs="Traditional Arabic"/>
          <w:sz w:val="32"/>
          <w:szCs w:val="32"/>
          <w:rtl/>
          <w:lang w:bidi="ar-DZ"/>
        </w:rPr>
        <w:footnoteReference w:id="36"/>
      </w:r>
      <w:r w:rsidRPr="002C10B5">
        <w:rPr>
          <w:rFonts w:ascii="Traditional Arabic" w:hAnsi="Traditional Arabic" w:cs="Traditional Arabic"/>
          <w:sz w:val="32"/>
          <w:szCs w:val="32"/>
          <w:rtl/>
          <w:lang w:bidi="ar-DZ"/>
        </w:rPr>
        <w:t>.</w:t>
      </w:r>
    </w:p>
    <w:p w:rsidR="00B72715" w:rsidRPr="00B72715" w:rsidRDefault="00B72715" w:rsidP="00B72715">
      <w:pPr>
        <w:bidi/>
        <w:spacing w:after="0"/>
        <w:ind w:hanging="2"/>
        <w:jc w:val="lowKashida"/>
        <w:rPr>
          <w:rFonts w:ascii="Traditional Arabic" w:eastAsia="Times New Roman" w:hAnsi="Traditional Arabic" w:cs="Traditional Arabic"/>
          <w:sz w:val="32"/>
          <w:szCs w:val="32"/>
          <w:lang w:bidi="ar-EG"/>
        </w:rPr>
      </w:pPr>
      <w:r w:rsidRPr="00B72715">
        <w:rPr>
          <w:rFonts w:ascii="Traditional Arabic" w:eastAsia="Times New Roman" w:hAnsi="Traditional Arabic" w:cs="Traditional Arabic" w:hint="cs"/>
          <w:b/>
          <w:bCs/>
          <w:sz w:val="24"/>
          <w:szCs w:val="24"/>
          <w:rtl/>
          <w:lang w:bidi="ar-EG"/>
        </w:rPr>
        <w:t>2-</w:t>
      </w:r>
      <w:r w:rsidRPr="00B72715">
        <w:rPr>
          <w:rFonts w:ascii="Traditional Arabic" w:eastAsia="Times New Roman" w:hAnsi="Traditional Arabic" w:cs="Traditional Arabic"/>
          <w:b/>
          <w:bCs/>
          <w:sz w:val="24"/>
          <w:szCs w:val="24"/>
          <w:rtl/>
          <w:lang w:bidi="ar-EG"/>
        </w:rPr>
        <w:t xml:space="preserve"> </w:t>
      </w:r>
      <w:r w:rsidRPr="00B72715">
        <w:rPr>
          <w:rFonts w:ascii="Traditional Arabic" w:eastAsia="Times New Roman" w:hAnsi="Traditional Arabic" w:cs="Traditional Arabic" w:hint="cs"/>
          <w:b/>
          <w:bCs/>
          <w:sz w:val="32"/>
          <w:szCs w:val="32"/>
          <w:rtl/>
          <w:lang w:bidi="ar-EG"/>
        </w:rPr>
        <w:t>انخفاض مستوى التحويلات المالية من الخارج</w:t>
      </w:r>
      <w:r>
        <w:rPr>
          <w:rFonts w:ascii="Traditional Arabic" w:eastAsia="Times New Roman" w:hAnsi="Traditional Arabic" w:cs="Traditional Arabic" w:hint="cs"/>
          <w:sz w:val="32"/>
          <w:szCs w:val="32"/>
          <w:rtl/>
          <w:lang w:bidi="ar-EG"/>
        </w:rPr>
        <w:t xml:space="preserve">: </w:t>
      </w:r>
      <w:r w:rsidRPr="00B72715">
        <w:rPr>
          <w:rFonts w:ascii="Traditional Arabic" w:eastAsia="Times New Roman" w:hAnsi="Traditional Arabic" w:cs="Traditional Arabic" w:hint="cs"/>
          <w:sz w:val="32"/>
          <w:szCs w:val="32"/>
          <w:rtl/>
          <w:lang w:bidi="ar-EG"/>
        </w:rPr>
        <w:t xml:space="preserve">  </w:t>
      </w:r>
      <w:r w:rsidRPr="00B72715">
        <w:rPr>
          <w:rFonts w:ascii="Traditional Arabic" w:eastAsia="Times New Roman" w:hAnsi="Traditional Arabic" w:cs="Traditional Arabic"/>
          <w:sz w:val="32"/>
          <w:szCs w:val="32"/>
          <w:rtl/>
          <w:lang w:bidi="ar-EG"/>
        </w:rPr>
        <w:t xml:space="preserve"> </w:t>
      </w:r>
    </w:p>
    <w:p w:rsidR="0082131A" w:rsidRPr="002C10B5" w:rsidRDefault="00235A79" w:rsidP="00B72715">
      <w:pPr>
        <w:tabs>
          <w:tab w:val="right" w:pos="567"/>
        </w:tabs>
        <w:bidi/>
        <w:jc w:val="lowKashida"/>
        <w:rPr>
          <w:rFonts w:ascii="Traditional Arabic" w:eastAsia="Times New Roman" w:hAnsi="Traditional Arabic" w:cs="Traditional Arabic"/>
          <w:sz w:val="32"/>
          <w:szCs w:val="32"/>
          <w:rtl/>
          <w:lang w:bidi="ar-EG"/>
        </w:rPr>
      </w:pPr>
      <w:r>
        <w:rPr>
          <w:rFonts w:ascii="Traditional Arabic" w:eastAsia="Times New Roman" w:hAnsi="Traditional Arabic" w:cs="Traditional Arabic" w:hint="cs"/>
          <w:sz w:val="32"/>
          <w:szCs w:val="32"/>
          <w:rtl/>
          <w:lang w:bidi="ar-EG"/>
        </w:rPr>
        <w:t xml:space="preserve">     </w:t>
      </w:r>
      <w:r w:rsidR="0082131A">
        <w:rPr>
          <w:rFonts w:ascii="Traditional Arabic" w:eastAsia="Times New Roman" w:hAnsi="Traditional Arabic" w:cs="Traditional Arabic" w:hint="cs"/>
          <w:sz w:val="32"/>
          <w:szCs w:val="32"/>
          <w:rtl/>
          <w:lang w:bidi="ar-EG"/>
        </w:rPr>
        <w:t xml:space="preserve"> </w:t>
      </w:r>
      <w:r w:rsidR="00B72715">
        <w:rPr>
          <w:rFonts w:ascii="Traditional Arabic" w:eastAsia="Times New Roman" w:hAnsi="Traditional Arabic" w:cs="Traditional Arabic" w:hint="cs"/>
          <w:sz w:val="32"/>
          <w:szCs w:val="32"/>
          <w:rtl/>
          <w:lang w:bidi="ar-EG"/>
        </w:rPr>
        <w:t xml:space="preserve"> </w:t>
      </w:r>
      <w:r w:rsidR="0082131A" w:rsidRPr="002C10B5">
        <w:rPr>
          <w:rFonts w:ascii="Traditional Arabic" w:eastAsia="Times New Roman" w:hAnsi="Traditional Arabic" w:cs="Traditional Arabic"/>
          <w:sz w:val="32"/>
          <w:szCs w:val="32"/>
          <w:rtl/>
          <w:lang w:bidi="ar-EG"/>
        </w:rPr>
        <w:t xml:space="preserve">تعتمد الدول العربية بصورة ملموسة على تحويلات العاملين في الخارج، وتشكل العمالة العربية </w:t>
      </w:r>
      <w:r w:rsidR="0082131A" w:rsidRPr="002C10B5">
        <w:rPr>
          <w:rFonts w:ascii="Traditional Arabic" w:eastAsia="Times New Roman" w:hAnsi="Traditional Arabic" w:cs="Traditional Arabic"/>
          <w:sz w:val="24"/>
          <w:szCs w:val="24"/>
          <w:rtl/>
          <w:lang w:bidi="ar-EG"/>
        </w:rPr>
        <w:t xml:space="preserve">23% </w:t>
      </w:r>
      <w:r w:rsidR="0082131A" w:rsidRPr="002C10B5">
        <w:rPr>
          <w:rFonts w:ascii="Traditional Arabic" w:eastAsia="Times New Roman" w:hAnsi="Traditional Arabic" w:cs="Traditional Arabic"/>
          <w:sz w:val="32"/>
          <w:szCs w:val="32"/>
          <w:rtl/>
          <w:lang w:bidi="ar-EG"/>
        </w:rPr>
        <w:t>من قوة العمل الوافدة إلى الدول العربية المرسلة للتحويلات</w:t>
      </w:r>
      <w:r w:rsidR="00B05D61">
        <w:rPr>
          <w:rFonts w:ascii="Traditional Arabic" w:eastAsia="Times New Roman" w:hAnsi="Traditional Arabic" w:cs="Traditional Arabic" w:hint="cs"/>
          <w:sz w:val="32"/>
          <w:szCs w:val="32"/>
          <w:rtl/>
          <w:lang w:bidi="ar-EG"/>
        </w:rPr>
        <w:t xml:space="preserve"> خلال عام </w:t>
      </w:r>
      <w:r w:rsidR="00B05D61" w:rsidRPr="00B05D61">
        <w:rPr>
          <w:rFonts w:ascii="Traditional Arabic" w:eastAsia="Times New Roman" w:hAnsi="Traditional Arabic" w:cs="Traditional Arabic" w:hint="cs"/>
          <w:sz w:val="24"/>
          <w:szCs w:val="24"/>
          <w:rtl/>
          <w:lang w:bidi="ar-EG"/>
        </w:rPr>
        <w:t>2007</w:t>
      </w:r>
      <w:r w:rsidR="0082131A" w:rsidRPr="002C10B5">
        <w:rPr>
          <w:rFonts w:ascii="Traditional Arabic" w:eastAsia="Times New Roman" w:hAnsi="Traditional Arabic" w:cs="Traditional Arabic"/>
          <w:sz w:val="32"/>
          <w:szCs w:val="32"/>
          <w:rtl/>
          <w:lang w:bidi="ar-EG"/>
        </w:rPr>
        <w:t>، وتعد مصر واليمن وفلسطين والأردن أهم الدول المرسلة للعمالة العربية إلى دول مجلس التعاون الخليجي وليبيا، بينما ترسل تونس والجزائر والمغرب عمالها إلى دول الاتحاد الأوروبي خاصة فرنسا و</w:t>
      </w:r>
      <w:r w:rsidR="0082131A">
        <w:rPr>
          <w:rFonts w:ascii="Traditional Arabic" w:eastAsia="Times New Roman" w:hAnsi="Traditional Arabic" w:cs="Traditional Arabic" w:hint="cs"/>
          <w:sz w:val="32"/>
          <w:szCs w:val="32"/>
          <w:rtl/>
          <w:lang w:bidi="ar-EG"/>
        </w:rPr>
        <w:t>إ</w:t>
      </w:r>
      <w:r w:rsidR="0082131A" w:rsidRPr="002C10B5">
        <w:rPr>
          <w:rFonts w:ascii="Traditional Arabic" w:eastAsia="Times New Roman" w:hAnsi="Traditional Arabic" w:cs="Traditional Arabic"/>
          <w:sz w:val="32"/>
          <w:szCs w:val="32"/>
          <w:rtl/>
          <w:lang w:bidi="ar-EG"/>
        </w:rPr>
        <w:t xml:space="preserve">سبانيا. </w:t>
      </w:r>
      <w:r w:rsidR="0082131A">
        <w:rPr>
          <w:rFonts w:ascii="Traditional Arabic" w:eastAsia="Times New Roman" w:hAnsi="Traditional Arabic" w:cs="Traditional Arabic" w:hint="cs"/>
          <w:sz w:val="32"/>
          <w:szCs w:val="32"/>
          <w:rtl/>
          <w:lang w:bidi="ar-EG"/>
        </w:rPr>
        <w:t xml:space="preserve">  </w:t>
      </w:r>
    </w:p>
    <w:p w:rsidR="008C4716" w:rsidRPr="002C10B5" w:rsidRDefault="00235A79" w:rsidP="00251203">
      <w:pPr>
        <w:tabs>
          <w:tab w:val="right" w:pos="565"/>
        </w:tabs>
        <w:bidi/>
        <w:spacing w:after="0"/>
        <w:ind w:firstLine="565"/>
        <w:jc w:val="lowKashida"/>
        <w:rPr>
          <w:rFonts w:ascii="Traditional Arabic" w:eastAsia="Times New Roman" w:hAnsi="Traditional Arabic" w:cs="Traditional Arabic"/>
          <w:sz w:val="32"/>
          <w:szCs w:val="32"/>
          <w:rtl/>
          <w:lang w:bidi="ar-EG"/>
        </w:rPr>
      </w:pPr>
      <w:r>
        <w:rPr>
          <w:rFonts w:ascii="Traditional Arabic" w:eastAsia="Times New Roman" w:hAnsi="Traditional Arabic" w:cs="Traditional Arabic" w:hint="cs"/>
          <w:sz w:val="32"/>
          <w:szCs w:val="32"/>
          <w:rtl/>
          <w:lang w:bidi="ar-EG"/>
        </w:rPr>
        <w:t>والجدول رقم</w:t>
      </w:r>
      <w:r w:rsidR="00251203">
        <w:rPr>
          <w:rFonts w:ascii="Traditional Arabic" w:eastAsia="Times New Roman" w:hAnsi="Traditional Arabic" w:cs="Traditional Arabic" w:hint="cs"/>
          <w:sz w:val="32"/>
          <w:szCs w:val="32"/>
          <w:rtl/>
          <w:lang w:bidi="ar-EG"/>
        </w:rPr>
        <w:t xml:space="preserve"> </w:t>
      </w:r>
      <w:r w:rsidR="00251203" w:rsidRPr="00251203">
        <w:rPr>
          <w:rFonts w:ascii="Traditional Arabic" w:eastAsia="Times New Roman" w:hAnsi="Traditional Arabic" w:cs="Traditional Arabic" w:hint="cs"/>
          <w:sz w:val="24"/>
          <w:szCs w:val="24"/>
          <w:rtl/>
          <w:lang w:bidi="ar-EG"/>
        </w:rPr>
        <w:t xml:space="preserve">21 </w:t>
      </w:r>
      <w:r w:rsidR="00251203">
        <w:rPr>
          <w:rFonts w:ascii="Traditional Arabic" w:eastAsia="Times New Roman" w:hAnsi="Traditional Arabic" w:cs="Traditional Arabic" w:hint="cs"/>
          <w:sz w:val="32"/>
          <w:szCs w:val="32"/>
          <w:rtl/>
          <w:lang w:bidi="ar-EG"/>
        </w:rPr>
        <w:t xml:space="preserve">يبين </w:t>
      </w:r>
      <w:r w:rsidR="00251203" w:rsidRPr="002C10B5">
        <w:rPr>
          <w:rFonts w:ascii="Traditional Arabic" w:eastAsia="Times New Roman" w:hAnsi="Traditional Arabic" w:cs="Traditional Arabic"/>
          <w:sz w:val="32"/>
          <w:szCs w:val="32"/>
          <w:rtl/>
          <w:lang w:bidi="ar-EG"/>
        </w:rPr>
        <w:t xml:space="preserve">أهم البلدان العربية المتلقية للتحويلات في عام </w:t>
      </w:r>
      <w:r w:rsidR="00251203" w:rsidRPr="002C10B5">
        <w:rPr>
          <w:rFonts w:ascii="Traditional Arabic" w:eastAsia="Times New Roman" w:hAnsi="Traditional Arabic" w:cs="Traditional Arabic"/>
          <w:sz w:val="24"/>
          <w:szCs w:val="24"/>
          <w:rtl/>
          <w:lang w:bidi="ar-EG"/>
        </w:rPr>
        <w:t xml:space="preserve">2007 </w:t>
      </w:r>
      <w:r>
        <w:rPr>
          <w:rFonts w:ascii="Traditional Arabic" w:eastAsia="Times New Roman" w:hAnsi="Traditional Arabic" w:cs="Traditional Arabic" w:hint="cs"/>
          <w:sz w:val="32"/>
          <w:szCs w:val="32"/>
          <w:rtl/>
          <w:lang w:bidi="ar-EG"/>
        </w:rPr>
        <w:t xml:space="preserve"> </w:t>
      </w:r>
      <w:r w:rsidR="00251203">
        <w:rPr>
          <w:rFonts w:ascii="Traditional Arabic" w:eastAsia="Times New Roman" w:hAnsi="Traditional Arabic" w:cs="Traditional Arabic" w:hint="cs"/>
          <w:sz w:val="32"/>
          <w:szCs w:val="32"/>
          <w:rtl/>
          <w:lang w:bidi="ar-EG"/>
        </w:rPr>
        <w:t>حسب تقرير</w:t>
      </w:r>
      <w:r w:rsidR="0082131A" w:rsidRPr="002C10B5">
        <w:rPr>
          <w:rFonts w:ascii="Traditional Arabic" w:eastAsia="Times New Roman" w:hAnsi="Traditional Arabic" w:cs="Traditional Arabic"/>
          <w:sz w:val="32"/>
          <w:szCs w:val="32"/>
          <w:rtl/>
          <w:lang w:bidi="ar-EG"/>
        </w:rPr>
        <w:t xml:space="preserve"> البنك الدولي</w:t>
      </w:r>
      <w:r w:rsidR="00251203">
        <w:rPr>
          <w:rFonts w:ascii="Traditional Arabic" w:eastAsia="Times New Roman" w:hAnsi="Traditional Arabic" w:cs="Traditional Arabic" w:hint="cs"/>
          <w:sz w:val="32"/>
          <w:szCs w:val="32"/>
          <w:rtl/>
          <w:lang w:bidi="ar-EG"/>
        </w:rPr>
        <w:t>،</w:t>
      </w:r>
      <w:r w:rsidR="0082131A" w:rsidRPr="002C10B5">
        <w:rPr>
          <w:rFonts w:ascii="Traditional Arabic" w:eastAsia="Times New Roman" w:hAnsi="Traditional Arabic" w:cs="Traditional Arabic"/>
          <w:sz w:val="32"/>
          <w:szCs w:val="32"/>
          <w:rtl/>
          <w:lang w:bidi="ar-EG"/>
        </w:rPr>
        <w:t xml:space="preserve"> </w:t>
      </w:r>
      <w:r w:rsidR="00251203">
        <w:rPr>
          <w:rFonts w:ascii="Traditional Arabic" w:eastAsia="Times New Roman" w:hAnsi="Traditional Arabic" w:cs="Traditional Arabic" w:hint="cs"/>
          <w:sz w:val="32"/>
          <w:szCs w:val="32"/>
          <w:rtl/>
          <w:lang w:bidi="ar-EG"/>
        </w:rPr>
        <w:t>و</w:t>
      </w:r>
      <w:r w:rsidR="0082131A" w:rsidRPr="002C10B5">
        <w:rPr>
          <w:rFonts w:ascii="Traditional Arabic" w:eastAsia="Times New Roman" w:hAnsi="Traditional Arabic" w:cs="Traditional Arabic"/>
          <w:sz w:val="32"/>
          <w:szCs w:val="32"/>
          <w:rtl/>
          <w:lang w:bidi="ar-EG"/>
        </w:rPr>
        <w:t>هي: مصر (</w:t>
      </w:r>
      <w:r w:rsidR="0082131A" w:rsidRPr="002C10B5">
        <w:rPr>
          <w:rFonts w:ascii="Traditional Arabic" w:eastAsia="Times New Roman" w:hAnsi="Traditional Arabic" w:cs="Traditional Arabic"/>
          <w:sz w:val="24"/>
          <w:szCs w:val="24"/>
          <w:lang w:bidi="ar-EG"/>
        </w:rPr>
        <w:t>5,9</w:t>
      </w:r>
      <w:r w:rsidR="0082131A" w:rsidRPr="002C10B5">
        <w:rPr>
          <w:rFonts w:ascii="Traditional Arabic" w:eastAsia="Times New Roman" w:hAnsi="Traditional Arabic" w:cs="Traditional Arabic"/>
          <w:sz w:val="24"/>
          <w:szCs w:val="24"/>
          <w:rtl/>
          <w:lang w:bidi="ar-EG"/>
        </w:rPr>
        <w:t xml:space="preserve"> </w:t>
      </w:r>
      <w:r w:rsidR="0082131A" w:rsidRPr="002C10B5">
        <w:rPr>
          <w:rFonts w:ascii="Traditional Arabic" w:eastAsia="Times New Roman" w:hAnsi="Traditional Arabic" w:cs="Traditional Arabic"/>
          <w:sz w:val="32"/>
          <w:szCs w:val="32"/>
          <w:rtl/>
          <w:lang w:bidi="ar-EG"/>
        </w:rPr>
        <w:t>مليار دولار)، المغرب (</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24"/>
          <w:szCs w:val="24"/>
          <w:lang w:bidi="ar-EG"/>
        </w:rPr>
        <w:t>5,7</w:t>
      </w:r>
      <w:r w:rsidR="0082131A" w:rsidRPr="002C10B5">
        <w:rPr>
          <w:rFonts w:ascii="Traditional Arabic" w:eastAsia="Times New Roman" w:hAnsi="Traditional Arabic" w:cs="Traditional Arabic"/>
          <w:sz w:val="32"/>
          <w:szCs w:val="32"/>
          <w:rtl/>
          <w:lang w:bidi="ar-EG"/>
        </w:rPr>
        <w:t>مليار دولار)، لبنان (</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24"/>
          <w:szCs w:val="24"/>
          <w:lang w:bidi="ar-EG"/>
        </w:rPr>
        <w:t>5,5</w:t>
      </w:r>
      <w:r w:rsidR="0082131A" w:rsidRPr="002C10B5">
        <w:rPr>
          <w:rFonts w:ascii="Traditional Arabic" w:eastAsia="Times New Roman" w:hAnsi="Traditional Arabic" w:cs="Traditional Arabic"/>
          <w:sz w:val="32"/>
          <w:szCs w:val="32"/>
          <w:rtl/>
          <w:lang w:bidi="ar-EG"/>
        </w:rPr>
        <w:t>مليار دولار)، الأردن (</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24"/>
          <w:szCs w:val="24"/>
          <w:lang w:bidi="ar-EG"/>
        </w:rPr>
        <w:t>2,9</w:t>
      </w:r>
      <w:r w:rsidR="0082131A" w:rsidRPr="002C10B5">
        <w:rPr>
          <w:rFonts w:ascii="Traditional Arabic" w:eastAsia="Times New Roman" w:hAnsi="Traditional Arabic" w:cs="Traditional Arabic"/>
          <w:sz w:val="32"/>
          <w:szCs w:val="32"/>
          <w:rtl/>
          <w:lang w:bidi="ar-EG"/>
        </w:rPr>
        <w:t>مليار دولار)، الجزائر (</w:t>
      </w:r>
      <w:r w:rsidR="0082131A" w:rsidRPr="002C10B5">
        <w:rPr>
          <w:rFonts w:ascii="Traditional Arabic" w:eastAsia="Times New Roman" w:hAnsi="Traditional Arabic" w:cs="Traditional Arabic"/>
          <w:sz w:val="24"/>
          <w:szCs w:val="24"/>
          <w:lang w:bidi="ar-EG"/>
        </w:rPr>
        <w:t>2,9</w:t>
      </w:r>
      <w:r w:rsidR="0082131A" w:rsidRPr="002C10B5">
        <w:rPr>
          <w:rFonts w:ascii="Traditional Arabic" w:eastAsia="Times New Roman" w:hAnsi="Traditional Arabic" w:cs="Traditional Arabic"/>
          <w:sz w:val="32"/>
          <w:szCs w:val="32"/>
          <w:rtl/>
          <w:lang w:bidi="ar-EG"/>
        </w:rPr>
        <w:t xml:space="preserve"> مليار دولار)، تونس (</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24"/>
          <w:szCs w:val="24"/>
          <w:lang w:bidi="ar-EG"/>
        </w:rPr>
        <w:t>1,7</w:t>
      </w:r>
      <w:r w:rsidR="0082131A" w:rsidRPr="002C10B5">
        <w:rPr>
          <w:rFonts w:ascii="Traditional Arabic" w:eastAsia="Times New Roman" w:hAnsi="Traditional Arabic" w:cs="Traditional Arabic"/>
          <w:sz w:val="32"/>
          <w:szCs w:val="32"/>
          <w:rtl/>
          <w:lang w:bidi="ar-EG"/>
        </w:rPr>
        <w:t>مليار دولار)، اليمن (</w:t>
      </w:r>
      <w:r w:rsidR="0082131A" w:rsidRPr="002C10B5">
        <w:rPr>
          <w:rFonts w:ascii="Traditional Arabic" w:eastAsia="Times New Roman" w:hAnsi="Traditional Arabic" w:cs="Traditional Arabic"/>
          <w:sz w:val="24"/>
          <w:szCs w:val="24"/>
          <w:lang w:bidi="ar-EG"/>
        </w:rPr>
        <w:t xml:space="preserve">1,3 </w:t>
      </w:r>
      <w:r w:rsidR="0082131A" w:rsidRPr="002C10B5">
        <w:rPr>
          <w:rFonts w:ascii="Traditional Arabic" w:eastAsia="Times New Roman" w:hAnsi="Traditional Arabic" w:cs="Traditional Arabic"/>
          <w:sz w:val="24"/>
          <w:szCs w:val="24"/>
          <w:rtl/>
          <w:lang w:bidi="ar-EG"/>
        </w:rPr>
        <w:t xml:space="preserve"> </w:t>
      </w:r>
      <w:r w:rsidR="0082131A" w:rsidRPr="002C10B5">
        <w:rPr>
          <w:rFonts w:ascii="Traditional Arabic" w:eastAsia="Times New Roman" w:hAnsi="Traditional Arabic" w:cs="Traditional Arabic"/>
          <w:sz w:val="32"/>
          <w:szCs w:val="32"/>
          <w:rtl/>
          <w:lang w:bidi="ar-EG"/>
        </w:rPr>
        <w:t>مليار دولار )، سوريا (</w:t>
      </w:r>
      <w:r w:rsidR="0082131A" w:rsidRPr="002C10B5">
        <w:rPr>
          <w:rFonts w:ascii="Traditional Arabic" w:eastAsia="Times New Roman" w:hAnsi="Traditional Arabic" w:cs="Traditional Arabic"/>
          <w:sz w:val="24"/>
          <w:szCs w:val="24"/>
          <w:lang w:bidi="ar-EG"/>
        </w:rPr>
        <w:t>0,8</w:t>
      </w:r>
      <w:r w:rsidR="0082131A" w:rsidRPr="002C10B5">
        <w:rPr>
          <w:rFonts w:ascii="Traditional Arabic" w:eastAsia="Times New Roman" w:hAnsi="Traditional Arabic" w:cs="Traditional Arabic"/>
          <w:sz w:val="24"/>
          <w:szCs w:val="24"/>
          <w:rtl/>
          <w:lang w:bidi="ar-EG"/>
        </w:rPr>
        <w:t xml:space="preserve"> </w:t>
      </w:r>
      <w:r w:rsidR="0082131A" w:rsidRPr="002C10B5">
        <w:rPr>
          <w:rFonts w:ascii="Traditional Arabic" w:eastAsia="Times New Roman" w:hAnsi="Traditional Arabic" w:cs="Traditional Arabic"/>
          <w:sz w:val="32"/>
          <w:szCs w:val="32"/>
          <w:rtl/>
          <w:lang w:bidi="ar-EG"/>
        </w:rPr>
        <w:t>مليار دولار)، الضفة</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32"/>
          <w:szCs w:val="32"/>
          <w:rtl/>
          <w:lang w:bidi="ar-EG"/>
        </w:rPr>
        <w:t>الغربية</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32"/>
          <w:szCs w:val="32"/>
          <w:rtl/>
          <w:lang w:bidi="ar-EG"/>
        </w:rPr>
        <w:t>وقطاع</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32"/>
          <w:szCs w:val="32"/>
          <w:rtl/>
          <w:lang w:bidi="ar-EG"/>
        </w:rPr>
        <w:t>غزة (</w:t>
      </w:r>
      <w:r w:rsidR="0082131A" w:rsidRPr="002C10B5">
        <w:rPr>
          <w:rFonts w:ascii="Traditional Arabic" w:eastAsia="Times New Roman" w:hAnsi="Traditional Arabic" w:cs="Traditional Arabic"/>
          <w:sz w:val="32"/>
          <w:szCs w:val="32"/>
          <w:lang w:bidi="ar-EG"/>
        </w:rPr>
        <w:t xml:space="preserve"> </w:t>
      </w:r>
      <w:r w:rsidR="0082131A" w:rsidRPr="002C10B5">
        <w:rPr>
          <w:rFonts w:ascii="Traditional Arabic" w:eastAsia="Times New Roman" w:hAnsi="Traditional Arabic" w:cs="Traditional Arabic"/>
          <w:sz w:val="24"/>
          <w:szCs w:val="24"/>
          <w:lang w:bidi="ar-EG"/>
        </w:rPr>
        <w:t>0,6</w:t>
      </w:r>
      <w:r w:rsidR="0082131A" w:rsidRPr="002C10B5">
        <w:rPr>
          <w:rFonts w:ascii="Traditional Arabic" w:eastAsia="Times New Roman" w:hAnsi="Traditional Arabic" w:cs="Traditional Arabic"/>
          <w:sz w:val="32"/>
          <w:szCs w:val="32"/>
          <w:rtl/>
          <w:lang w:bidi="ar-EG"/>
        </w:rPr>
        <w:t xml:space="preserve">مليار دولار) سنويا، هذا بالإضافة إلى تحويلات غير رسمية وتحويلات عينية في شكل سيارات، آلات، أدوات منزلية وملابس، وغيرها. </w:t>
      </w:r>
      <w:r w:rsidR="00251203">
        <w:rPr>
          <w:rFonts w:ascii="Traditional Arabic" w:eastAsia="Times New Roman" w:hAnsi="Traditional Arabic" w:cs="Traditional Arabic" w:hint="cs"/>
          <w:sz w:val="32"/>
          <w:szCs w:val="32"/>
          <w:rtl/>
          <w:lang w:bidi="ar-EG"/>
        </w:rPr>
        <w:t xml:space="preserve"> </w:t>
      </w:r>
    </w:p>
    <w:p w:rsidR="0082131A" w:rsidRPr="000F447B" w:rsidRDefault="009E7072" w:rsidP="0067613E">
      <w:pPr>
        <w:tabs>
          <w:tab w:val="right" w:pos="565"/>
          <w:tab w:val="right" w:pos="6804"/>
        </w:tabs>
        <w:bidi/>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الجدول</w:t>
      </w:r>
      <w:r w:rsidR="000F447B">
        <w:rPr>
          <w:rFonts w:ascii="Traditional Arabic" w:hAnsi="Traditional Arabic" w:cs="Traditional Arabic" w:hint="cs"/>
          <w:sz w:val="32"/>
          <w:szCs w:val="32"/>
          <w:rtl/>
          <w:lang w:bidi="ar-DZ"/>
        </w:rPr>
        <w:t xml:space="preserve"> رقم</w:t>
      </w:r>
      <w:r w:rsidR="0082131A" w:rsidRPr="000F447B">
        <w:rPr>
          <w:rFonts w:ascii="Traditional Arabic" w:hAnsi="Traditional Arabic" w:cs="Traditional Arabic"/>
          <w:sz w:val="32"/>
          <w:szCs w:val="32"/>
          <w:rtl/>
          <w:lang w:bidi="ar-DZ"/>
        </w:rPr>
        <w:t xml:space="preserve"> </w:t>
      </w:r>
      <w:r w:rsidR="00251203">
        <w:rPr>
          <w:rFonts w:ascii="Traditional Arabic" w:hAnsi="Traditional Arabic" w:cs="Traditional Arabic" w:hint="cs"/>
          <w:sz w:val="24"/>
          <w:szCs w:val="24"/>
          <w:rtl/>
          <w:lang w:bidi="ar-DZ"/>
        </w:rPr>
        <w:t>21</w:t>
      </w:r>
      <w:r w:rsidR="0082131A" w:rsidRPr="000F447B">
        <w:rPr>
          <w:rFonts w:ascii="Traditional Arabic" w:hAnsi="Traditional Arabic" w:cs="Traditional Arabic"/>
          <w:sz w:val="32"/>
          <w:szCs w:val="32"/>
          <w:rtl/>
          <w:lang w:bidi="ar-DZ"/>
        </w:rPr>
        <w:t>: إجمالي التحويلات المالية</w:t>
      </w:r>
      <w:r w:rsidR="003C00BB">
        <w:rPr>
          <w:rFonts w:ascii="Traditional Arabic" w:hAnsi="Traditional Arabic" w:cs="Traditional Arabic" w:hint="cs"/>
          <w:sz w:val="32"/>
          <w:szCs w:val="32"/>
          <w:rtl/>
          <w:lang w:bidi="ar-DZ"/>
        </w:rPr>
        <w:t xml:space="preserve"> للدول العربية</w:t>
      </w:r>
      <w:r w:rsidR="0082131A" w:rsidRPr="000F447B">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مليون دولار أمريكي، </w:t>
      </w:r>
      <w:r w:rsidR="00802FC2">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 xml:space="preserve">سنة </w:t>
      </w:r>
      <w:r w:rsidRPr="009E7072">
        <w:rPr>
          <w:rFonts w:ascii="Traditional Arabic" w:hAnsi="Traditional Arabic" w:cs="Traditional Arabic" w:hint="cs"/>
          <w:sz w:val="24"/>
          <w:szCs w:val="24"/>
          <w:rtl/>
          <w:lang w:bidi="ar-DZ"/>
        </w:rPr>
        <w:t>2007</w:t>
      </w:r>
      <w:r>
        <w:rPr>
          <w:rFonts w:ascii="Traditional Arabic" w:hAnsi="Traditional Arabic" w:cs="Traditional Arabic" w:hint="cs"/>
          <w:sz w:val="32"/>
          <w:szCs w:val="32"/>
          <w:rtl/>
          <w:lang w:bidi="ar-DZ"/>
        </w:rPr>
        <w:t>)</w:t>
      </w:r>
    </w:p>
    <w:tbl>
      <w:tblPr>
        <w:tblpPr w:leftFromText="141" w:rightFromText="141" w:vertAnchor="text" w:horzAnchor="page" w:tblpXSpec="center" w:tblpY="20"/>
        <w:tblOverlap w:val="never"/>
        <w:tblW w:w="5059" w:type="dxa"/>
        <w:tblCellMar>
          <w:left w:w="70" w:type="dxa"/>
          <w:right w:w="70" w:type="dxa"/>
        </w:tblCellMar>
        <w:tblLook w:val="04A0"/>
      </w:tblPr>
      <w:tblGrid>
        <w:gridCol w:w="2098"/>
        <w:gridCol w:w="2961"/>
      </w:tblGrid>
      <w:tr w:rsidR="004B1DB4" w:rsidRPr="002C10B5" w:rsidTr="001902A6">
        <w:trPr>
          <w:trHeight w:val="436"/>
        </w:trPr>
        <w:tc>
          <w:tcPr>
            <w:tcW w:w="2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jc w:val="center"/>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rPr>
              <w:t>إجمالي التحويل</w:t>
            </w:r>
          </w:p>
        </w:tc>
        <w:tc>
          <w:tcPr>
            <w:tcW w:w="2961" w:type="dxa"/>
            <w:tcBorders>
              <w:top w:val="single" w:sz="4" w:space="0" w:color="auto"/>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jc w:val="center"/>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البلدان</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Pr>
              <w:t>5,9</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مصر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Pr>
              <w:t>5,7</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المغرب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tl/>
                <w:lang w:bidi="ar-EG"/>
              </w:rPr>
              <w:t>5.769</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لبنان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tl/>
                <w:lang w:bidi="ar-EG"/>
              </w:rPr>
              <w:t>2.934</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الأردن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Pr>
              <w:t>2,9</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الجزائر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Pr>
              <w:t>1,7</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تونس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Pr>
              <w:t>1,3</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اليمن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Pr>
              <w:t>0,8</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سوريا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4B1DB4">
            <w:pPr>
              <w:spacing w:after="0" w:line="240" w:lineRule="auto"/>
              <w:jc w:val="center"/>
              <w:rPr>
                <w:rFonts w:ascii="Traditional Arabic" w:eastAsia="Times New Roman" w:hAnsi="Traditional Arabic" w:cs="Traditional Arabic"/>
                <w:color w:val="000000"/>
                <w:sz w:val="24"/>
                <w:szCs w:val="24"/>
              </w:rPr>
            </w:pPr>
            <w:r w:rsidRPr="00CE7C85">
              <w:rPr>
                <w:rFonts w:ascii="Traditional Arabic" w:eastAsia="Times New Roman" w:hAnsi="Traditional Arabic" w:cs="Traditional Arabic"/>
                <w:color w:val="000000"/>
                <w:sz w:val="24"/>
                <w:szCs w:val="24"/>
                <w:rtl/>
                <w:lang w:bidi="ar-EG"/>
              </w:rPr>
              <w:t>0.598</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rPr>
            </w:pPr>
            <w:r w:rsidRPr="002C10B5">
              <w:rPr>
                <w:rFonts w:ascii="Traditional Arabic" w:eastAsia="Times New Roman" w:hAnsi="Traditional Arabic" w:cs="Traditional Arabic"/>
                <w:color w:val="000000"/>
                <w:sz w:val="28"/>
                <w:szCs w:val="28"/>
                <w:rtl/>
                <w:lang w:bidi="ar-EG"/>
              </w:rPr>
              <w:t xml:space="preserve">الضفة الغربية وقطاع غزة </w:t>
            </w:r>
          </w:p>
        </w:tc>
      </w:tr>
      <w:tr w:rsidR="004B1DB4" w:rsidRPr="002C10B5" w:rsidTr="001902A6">
        <w:trPr>
          <w:trHeight w:val="436"/>
        </w:trPr>
        <w:tc>
          <w:tcPr>
            <w:tcW w:w="2098" w:type="dxa"/>
            <w:tcBorders>
              <w:top w:val="nil"/>
              <w:left w:val="single" w:sz="4" w:space="0" w:color="auto"/>
              <w:bottom w:val="single" w:sz="4" w:space="0" w:color="auto"/>
              <w:right w:val="single" w:sz="4" w:space="0" w:color="auto"/>
            </w:tcBorders>
            <w:shd w:val="clear" w:color="auto" w:fill="auto"/>
            <w:noWrap/>
            <w:vAlign w:val="bottom"/>
            <w:hideMark/>
          </w:tcPr>
          <w:p w:rsidR="004B1DB4" w:rsidRPr="00CE7C85" w:rsidRDefault="004B1DB4" w:rsidP="001902A6">
            <w:pPr>
              <w:spacing w:after="0" w:line="240" w:lineRule="auto"/>
              <w:ind w:right="-27"/>
              <w:jc w:val="center"/>
              <w:rPr>
                <w:rFonts w:ascii="Traditional Arabic" w:eastAsia="Times New Roman" w:hAnsi="Traditional Arabic" w:cs="Traditional Arabic"/>
                <w:color w:val="000000"/>
                <w:sz w:val="24"/>
                <w:szCs w:val="24"/>
                <w:lang w:bidi="ar-EG"/>
              </w:rPr>
            </w:pPr>
            <w:r w:rsidRPr="00CE7C85">
              <w:rPr>
                <w:rFonts w:ascii="Traditional Arabic" w:eastAsia="Times New Roman" w:hAnsi="Traditional Arabic" w:cs="Traditional Arabic"/>
                <w:color w:val="000000"/>
                <w:sz w:val="24"/>
                <w:szCs w:val="24"/>
                <w:rtl/>
                <w:lang w:bidi="ar-EG"/>
              </w:rPr>
              <w:t>0.043</w:t>
            </w:r>
          </w:p>
        </w:tc>
        <w:tc>
          <w:tcPr>
            <w:tcW w:w="2961" w:type="dxa"/>
            <w:tcBorders>
              <w:top w:val="nil"/>
              <w:left w:val="nil"/>
              <w:bottom w:val="single" w:sz="4" w:space="0" w:color="auto"/>
              <w:right w:val="single" w:sz="4" w:space="0" w:color="auto"/>
            </w:tcBorders>
            <w:shd w:val="clear" w:color="auto" w:fill="auto"/>
            <w:noWrap/>
            <w:vAlign w:val="bottom"/>
            <w:hideMark/>
          </w:tcPr>
          <w:p w:rsidR="004B1DB4" w:rsidRPr="002C10B5" w:rsidRDefault="004B1DB4" w:rsidP="004B1DB4">
            <w:pPr>
              <w:bidi/>
              <w:spacing w:after="0" w:line="240" w:lineRule="auto"/>
              <w:rPr>
                <w:rFonts w:ascii="Traditional Arabic" w:eastAsia="Times New Roman" w:hAnsi="Traditional Arabic" w:cs="Traditional Arabic"/>
                <w:color w:val="000000"/>
                <w:sz w:val="28"/>
                <w:szCs w:val="28"/>
                <w:lang w:bidi="ar-EG"/>
              </w:rPr>
            </w:pPr>
            <w:r w:rsidRPr="002C10B5">
              <w:rPr>
                <w:rFonts w:ascii="Traditional Arabic" w:eastAsia="Times New Roman" w:hAnsi="Traditional Arabic" w:cs="Traditional Arabic"/>
                <w:color w:val="000000"/>
                <w:sz w:val="28"/>
                <w:szCs w:val="28"/>
                <w:rtl/>
                <w:lang w:bidi="ar-EG"/>
              </w:rPr>
              <w:t xml:space="preserve">عمان     </w:t>
            </w:r>
          </w:p>
        </w:tc>
      </w:tr>
    </w:tbl>
    <w:p w:rsidR="00793953" w:rsidRPr="003901E1" w:rsidRDefault="0082131A" w:rsidP="003901E1">
      <w:pPr>
        <w:tabs>
          <w:tab w:val="right" w:pos="565"/>
          <w:tab w:val="right" w:pos="4536"/>
        </w:tabs>
        <w:bidi/>
        <w:spacing w:after="0" w:line="240" w:lineRule="auto"/>
        <w:rPr>
          <w:rFonts w:ascii="Traditional Arabic" w:hAnsi="Traditional Arabic" w:cs="Traditional Arabic"/>
          <w:sz w:val="28"/>
          <w:szCs w:val="28"/>
          <w:rtl/>
          <w:lang w:bidi="ar-DZ"/>
        </w:rPr>
      </w:pPr>
      <w:r w:rsidRPr="003901E1">
        <w:rPr>
          <w:rFonts w:ascii="Traditional Arabic" w:eastAsia="Times New Roman" w:hAnsi="Traditional Arabic" w:cs="Traditional Arabic"/>
          <w:sz w:val="28"/>
          <w:szCs w:val="28"/>
          <w:rtl/>
          <w:lang w:bidi="ar-EG"/>
        </w:rPr>
        <w:br w:type="textWrapping" w:clear="all"/>
      </w:r>
      <w:r w:rsidR="00BF2142">
        <w:rPr>
          <w:rFonts w:ascii="Traditional Arabic" w:hAnsi="Traditional Arabic" w:cs="Traditional Arabic" w:hint="cs"/>
          <w:sz w:val="28"/>
          <w:szCs w:val="28"/>
          <w:rtl/>
          <w:lang w:bidi="ar-DZ"/>
        </w:rPr>
        <w:t xml:space="preserve">                              </w:t>
      </w:r>
      <w:r w:rsidRPr="003901E1">
        <w:rPr>
          <w:rFonts w:ascii="Traditional Arabic" w:hAnsi="Traditional Arabic" w:cs="Traditional Arabic"/>
          <w:sz w:val="28"/>
          <w:szCs w:val="28"/>
          <w:rtl/>
          <w:lang w:bidi="ar-DZ"/>
        </w:rPr>
        <w:t xml:space="preserve">المصدر: </w:t>
      </w:r>
      <w:r w:rsidR="00793953" w:rsidRPr="003901E1">
        <w:rPr>
          <w:rFonts w:ascii="Traditional Arabic" w:hAnsi="Traditional Arabic" w:cs="Traditional Arabic" w:hint="cs"/>
          <w:sz w:val="28"/>
          <w:szCs w:val="28"/>
          <w:rtl/>
          <w:lang w:bidi="ar-DZ"/>
        </w:rPr>
        <w:t>من إعداد الباحث: اعتمادا على:</w:t>
      </w:r>
    </w:p>
    <w:p w:rsidR="0082131A" w:rsidRPr="003901E1" w:rsidRDefault="00793953" w:rsidP="003901E1">
      <w:pPr>
        <w:tabs>
          <w:tab w:val="right" w:pos="4536"/>
        </w:tabs>
        <w:bidi/>
        <w:spacing w:after="0" w:line="240" w:lineRule="auto"/>
        <w:rPr>
          <w:rFonts w:ascii="Traditional Arabic" w:hAnsi="Traditional Arabic" w:cs="Traditional Arabic"/>
          <w:sz w:val="28"/>
          <w:szCs w:val="28"/>
          <w:rtl/>
          <w:lang w:bidi="ar-DZ"/>
        </w:rPr>
      </w:pPr>
      <w:r w:rsidRPr="003901E1">
        <w:rPr>
          <w:rFonts w:ascii="Traditional Arabic" w:hAnsi="Traditional Arabic" w:cs="Traditional Arabic" w:hint="cs"/>
          <w:sz w:val="28"/>
          <w:szCs w:val="28"/>
          <w:rtl/>
          <w:lang w:bidi="ar-DZ"/>
        </w:rPr>
        <w:t xml:space="preserve">       </w:t>
      </w:r>
      <w:r w:rsidR="00BF2142">
        <w:rPr>
          <w:rFonts w:ascii="Traditional Arabic" w:hAnsi="Traditional Arabic" w:cs="Traditional Arabic" w:hint="cs"/>
          <w:sz w:val="28"/>
          <w:szCs w:val="28"/>
          <w:rtl/>
          <w:lang w:bidi="ar-DZ"/>
        </w:rPr>
        <w:t xml:space="preserve">                              </w:t>
      </w:r>
      <w:r w:rsidRPr="003901E1">
        <w:rPr>
          <w:rFonts w:ascii="Traditional Arabic" w:hAnsi="Traditional Arabic" w:cs="Traditional Arabic" w:hint="cs"/>
          <w:sz w:val="28"/>
          <w:szCs w:val="28"/>
          <w:rtl/>
          <w:lang w:bidi="ar-DZ"/>
        </w:rPr>
        <w:t xml:space="preserve">  </w:t>
      </w:r>
      <w:r w:rsidR="003901E1" w:rsidRPr="003901E1">
        <w:rPr>
          <w:rFonts w:ascii="Traditional Arabic" w:hAnsi="Traditional Arabic" w:cs="Traditional Arabic" w:hint="cs"/>
          <w:sz w:val="28"/>
          <w:szCs w:val="28"/>
          <w:rtl/>
          <w:lang w:bidi="ar-DZ"/>
        </w:rPr>
        <w:t>كريستينا برينت، طارق الحق، نورا كمال: مرجع سابق</w:t>
      </w:r>
      <w:r w:rsidR="0082131A" w:rsidRPr="003901E1">
        <w:rPr>
          <w:rFonts w:ascii="Traditional Arabic" w:hAnsi="Traditional Arabic" w:cs="Traditional Arabic"/>
          <w:sz w:val="28"/>
          <w:szCs w:val="28"/>
          <w:rtl/>
          <w:lang w:bidi="ar-DZ"/>
        </w:rPr>
        <w:t xml:space="preserve">، ص </w:t>
      </w:r>
      <w:r w:rsidR="0082131A" w:rsidRPr="003901E1">
        <w:rPr>
          <w:rFonts w:ascii="Traditional Arabic" w:hAnsi="Traditional Arabic" w:cs="Traditional Arabic"/>
          <w:sz w:val="24"/>
          <w:szCs w:val="24"/>
          <w:rtl/>
          <w:lang w:bidi="ar-DZ"/>
        </w:rPr>
        <w:t>17</w:t>
      </w:r>
      <w:r w:rsidR="0082131A" w:rsidRPr="003901E1">
        <w:rPr>
          <w:rFonts w:ascii="Traditional Arabic" w:hAnsi="Traditional Arabic" w:cs="Traditional Arabic"/>
          <w:sz w:val="28"/>
          <w:szCs w:val="28"/>
          <w:rtl/>
          <w:lang w:bidi="ar-DZ"/>
        </w:rPr>
        <w:t xml:space="preserve">. </w:t>
      </w:r>
    </w:p>
    <w:p w:rsidR="0082131A" w:rsidRPr="003901E1" w:rsidRDefault="005630CF" w:rsidP="00BF2142">
      <w:pPr>
        <w:tabs>
          <w:tab w:val="right" w:pos="565"/>
          <w:tab w:val="right" w:pos="2549"/>
          <w:tab w:val="right" w:pos="2691"/>
          <w:tab w:val="right" w:pos="2833"/>
        </w:tabs>
        <w:bidi/>
        <w:jc w:val="both"/>
        <w:rPr>
          <w:rFonts w:ascii="Traditional Arabic" w:hAnsi="Traditional Arabic" w:cs="Traditional Arabic"/>
          <w:sz w:val="28"/>
          <w:szCs w:val="28"/>
          <w:rtl/>
          <w:lang w:bidi="ar-DZ"/>
        </w:rPr>
      </w:pPr>
      <w:r w:rsidRPr="003901E1">
        <w:rPr>
          <w:rFonts w:ascii="Traditional Arabic" w:hAnsi="Traditional Arabic" w:cs="Traditional Arabic" w:hint="cs"/>
          <w:sz w:val="28"/>
          <w:szCs w:val="28"/>
          <w:rtl/>
          <w:lang w:bidi="ar-DZ"/>
        </w:rPr>
        <w:t xml:space="preserve">    </w:t>
      </w:r>
      <w:r w:rsidR="00793953" w:rsidRPr="003901E1">
        <w:rPr>
          <w:rFonts w:ascii="Traditional Arabic" w:hAnsi="Traditional Arabic" w:cs="Traditional Arabic"/>
          <w:sz w:val="28"/>
          <w:szCs w:val="28"/>
          <w:rtl/>
          <w:lang w:bidi="ar-DZ"/>
        </w:rPr>
        <w:t xml:space="preserve"> </w:t>
      </w:r>
      <w:r w:rsidR="003901E1">
        <w:rPr>
          <w:rFonts w:ascii="Traditional Arabic" w:hAnsi="Traditional Arabic" w:cs="Traditional Arabic" w:hint="cs"/>
          <w:sz w:val="28"/>
          <w:szCs w:val="28"/>
          <w:rtl/>
          <w:lang w:bidi="ar-DZ"/>
        </w:rPr>
        <w:t xml:space="preserve">  </w:t>
      </w:r>
      <w:r w:rsidR="00BF2142">
        <w:rPr>
          <w:rFonts w:ascii="Traditional Arabic" w:hAnsi="Traditional Arabic" w:cs="Traditional Arabic" w:hint="cs"/>
          <w:sz w:val="28"/>
          <w:szCs w:val="28"/>
          <w:rtl/>
          <w:lang w:bidi="ar-DZ"/>
        </w:rPr>
        <w:t xml:space="preserve">                               </w:t>
      </w:r>
      <w:r w:rsidR="003901E1">
        <w:rPr>
          <w:rFonts w:ascii="Traditional Arabic" w:hAnsi="Traditional Arabic" w:cs="Traditional Arabic" w:hint="cs"/>
          <w:sz w:val="28"/>
          <w:szCs w:val="28"/>
          <w:rtl/>
          <w:lang w:bidi="ar-DZ"/>
        </w:rPr>
        <w:t xml:space="preserve"> </w:t>
      </w:r>
      <w:r w:rsidR="0082131A" w:rsidRPr="003901E1">
        <w:rPr>
          <w:rFonts w:ascii="Traditional Arabic" w:hAnsi="Traditional Arabic" w:cs="Traditional Arabic"/>
          <w:sz w:val="28"/>
          <w:szCs w:val="28"/>
          <w:rtl/>
          <w:lang w:bidi="ar-DZ"/>
        </w:rPr>
        <w:t xml:space="preserve"> </w:t>
      </w:r>
      <w:r w:rsidR="0082131A" w:rsidRPr="003901E1">
        <w:rPr>
          <w:rFonts w:ascii="Traditional Arabic" w:hAnsi="Traditional Arabic" w:cs="Traditional Arabic"/>
          <w:sz w:val="28"/>
          <w:szCs w:val="28"/>
          <w:rtl/>
        </w:rPr>
        <w:t xml:space="preserve">تقرير المدير العام لمكتب العمل العربي: </w:t>
      </w:r>
      <w:r w:rsidRPr="003901E1">
        <w:rPr>
          <w:rFonts w:ascii="Traditional Arabic" w:hAnsi="Traditional Arabic" w:cs="Traditional Arabic" w:hint="cs"/>
          <w:sz w:val="28"/>
          <w:szCs w:val="28"/>
          <w:rtl/>
        </w:rPr>
        <w:t>مرجع سابق</w:t>
      </w:r>
      <w:r w:rsidR="0082131A" w:rsidRPr="003901E1">
        <w:rPr>
          <w:rFonts w:ascii="Traditional Arabic" w:hAnsi="Traditional Arabic" w:cs="Traditional Arabic"/>
          <w:sz w:val="28"/>
          <w:szCs w:val="28"/>
          <w:rtl/>
        </w:rPr>
        <w:t xml:space="preserve">، ص </w:t>
      </w:r>
      <w:r w:rsidR="0082131A" w:rsidRPr="003901E1">
        <w:rPr>
          <w:rFonts w:ascii="Traditional Arabic" w:hAnsi="Traditional Arabic" w:cs="Traditional Arabic"/>
          <w:sz w:val="24"/>
          <w:szCs w:val="24"/>
          <w:rtl/>
        </w:rPr>
        <w:t>167</w:t>
      </w:r>
      <w:r w:rsidR="0082131A" w:rsidRPr="003901E1">
        <w:rPr>
          <w:rFonts w:ascii="Traditional Arabic" w:hAnsi="Traditional Arabic" w:cs="Traditional Arabic"/>
          <w:sz w:val="28"/>
          <w:szCs w:val="28"/>
          <w:rtl/>
        </w:rPr>
        <w:t>.</w:t>
      </w:r>
      <w:r w:rsidRPr="003901E1">
        <w:rPr>
          <w:rFonts w:ascii="Traditional Arabic" w:hAnsi="Traditional Arabic" w:cs="Traditional Arabic" w:hint="cs"/>
          <w:sz w:val="28"/>
          <w:szCs w:val="28"/>
          <w:rtl/>
        </w:rPr>
        <w:t xml:space="preserve">   </w:t>
      </w:r>
    </w:p>
    <w:p w:rsidR="00E84DDF" w:rsidRDefault="0082131A" w:rsidP="00A71AD9">
      <w:pPr>
        <w:tabs>
          <w:tab w:val="right" w:pos="565"/>
        </w:tabs>
        <w:bidi/>
        <w:spacing w:before="120" w:after="120"/>
        <w:ind w:firstLine="565"/>
        <w:jc w:val="lowKashida"/>
        <w:rPr>
          <w:rFonts w:ascii="Traditional Arabic" w:eastAsia="Times New Roman" w:hAnsi="Traditional Arabic" w:cs="Traditional Arabic"/>
          <w:sz w:val="32"/>
          <w:szCs w:val="32"/>
          <w:rtl/>
          <w:lang w:bidi="ar-EG"/>
        </w:rPr>
      </w:pPr>
      <w:r w:rsidRPr="002C10B5">
        <w:rPr>
          <w:rFonts w:ascii="Traditional Arabic" w:eastAsia="Times New Roman" w:hAnsi="Traditional Arabic" w:cs="Traditional Arabic"/>
          <w:sz w:val="32"/>
          <w:szCs w:val="32"/>
          <w:rtl/>
          <w:lang w:bidi="ar-EG"/>
        </w:rPr>
        <w:t xml:space="preserve">وتفوق هذه التحويلات وبالذات في </w:t>
      </w:r>
      <w:r>
        <w:rPr>
          <w:rFonts w:ascii="Traditional Arabic" w:eastAsia="Times New Roman" w:hAnsi="Traditional Arabic" w:cs="Traditional Arabic" w:hint="cs"/>
          <w:sz w:val="32"/>
          <w:szCs w:val="32"/>
          <w:rtl/>
          <w:lang w:bidi="ar-EG"/>
        </w:rPr>
        <w:t xml:space="preserve">دول </w:t>
      </w:r>
      <w:r w:rsidRPr="002C10B5">
        <w:rPr>
          <w:rFonts w:ascii="Traditional Arabic" w:eastAsia="Times New Roman" w:hAnsi="Traditional Arabic" w:cs="Traditional Arabic"/>
          <w:sz w:val="32"/>
          <w:szCs w:val="32"/>
          <w:rtl/>
          <w:lang w:bidi="ar-EG"/>
        </w:rPr>
        <w:t>المغرب العربي، مصر</w:t>
      </w:r>
      <w:r>
        <w:rPr>
          <w:rFonts w:ascii="Traditional Arabic" w:eastAsia="Times New Roman" w:hAnsi="Traditional Arabic" w:cs="Traditional Arabic" w:hint="cs"/>
          <w:sz w:val="32"/>
          <w:szCs w:val="32"/>
          <w:rtl/>
          <w:lang w:bidi="ar-EG"/>
        </w:rPr>
        <w:t>،</w:t>
      </w:r>
      <w:r>
        <w:rPr>
          <w:rFonts w:ascii="Traditional Arabic" w:eastAsia="Times New Roman" w:hAnsi="Traditional Arabic" w:cs="Traditional Arabic"/>
          <w:sz w:val="32"/>
          <w:szCs w:val="32"/>
          <w:rtl/>
          <w:lang w:bidi="ar-EG"/>
        </w:rPr>
        <w:t xml:space="preserve"> </w:t>
      </w:r>
      <w:r w:rsidRPr="002C10B5">
        <w:rPr>
          <w:rFonts w:ascii="Traditional Arabic" w:eastAsia="Times New Roman" w:hAnsi="Traditional Arabic" w:cs="Traditional Arabic"/>
          <w:sz w:val="32"/>
          <w:szCs w:val="32"/>
          <w:rtl/>
          <w:lang w:bidi="ar-EG"/>
        </w:rPr>
        <w:t>السودان</w:t>
      </w:r>
      <w:r>
        <w:rPr>
          <w:rFonts w:ascii="Traditional Arabic" w:eastAsia="Times New Roman" w:hAnsi="Traditional Arabic" w:cs="Traditional Arabic" w:hint="cs"/>
          <w:sz w:val="32"/>
          <w:szCs w:val="32"/>
          <w:rtl/>
          <w:lang w:bidi="ar-EG"/>
        </w:rPr>
        <w:t>،</w:t>
      </w:r>
      <w:r>
        <w:rPr>
          <w:rFonts w:ascii="Traditional Arabic" w:eastAsia="Times New Roman" w:hAnsi="Traditional Arabic" w:cs="Traditional Arabic"/>
          <w:sz w:val="32"/>
          <w:szCs w:val="32"/>
          <w:rtl/>
          <w:lang w:bidi="ar-EG"/>
        </w:rPr>
        <w:t xml:space="preserve"> </w:t>
      </w:r>
      <w:r w:rsidRPr="002C10B5">
        <w:rPr>
          <w:rFonts w:ascii="Traditional Arabic" w:eastAsia="Times New Roman" w:hAnsi="Traditional Arabic" w:cs="Traditional Arabic"/>
          <w:sz w:val="32"/>
          <w:szCs w:val="32"/>
          <w:rtl/>
          <w:lang w:bidi="ar-EG"/>
        </w:rPr>
        <w:t>الأردن ولبنان، إجمالي ما تحصل عليه هذه البلدان من معونات أجنبية أو استثمارات</w:t>
      </w:r>
      <w:r>
        <w:rPr>
          <w:rFonts w:ascii="Traditional Arabic" w:eastAsia="Times New Roman" w:hAnsi="Traditional Arabic" w:cs="Traditional Arabic" w:hint="cs"/>
          <w:sz w:val="32"/>
          <w:szCs w:val="32"/>
          <w:rtl/>
          <w:lang w:bidi="ar-EG"/>
        </w:rPr>
        <w:t xml:space="preserve"> أ</w:t>
      </w:r>
      <w:r>
        <w:rPr>
          <w:rFonts w:ascii="Traditional Arabic" w:eastAsia="Times New Roman" w:hAnsi="Traditional Arabic" w:cs="Traditional Arabic" w:hint="cs"/>
          <w:sz w:val="32"/>
          <w:szCs w:val="32"/>
          <w:rtl/>
          <w:lang w:bidi="ar-DZ"/>
        </w:rPr>
        <w:t>جنبي</w:t>
      </w:r>
      <w:r>
        <w:rPr>
          <w:rFonts w:ascii="Traditional Arabic" w:eastAsia="Times New Roman" w:hAnsi="Traditional Arabic" w:cs="Traditional Arabic" w:hint="eastAsia"/>
          <w:sz w:val="32"/>
          <w:szCs w:val="32"/>
          <w:rtl/>
          <w:lang w:bidi="ar-DZ"/>
        </w:rPr>
        <w:t>ة</w:t>
      </w:r>
      <w:r w:rsidRPr="002C10B5">
        <w:rPr>
          <w:rFonts w:ascii="Traditional Arabic" w:eastAsia="Times New Roman" w:hAnsi="Traditional Arabic" w:cs="Traditional Arabic"/>
          <w:sz w:val="32"/>
          <w:szCs w:val="32"/>
          <w:rtl/>
          <w:lang w:bidi="ar-EG"/>
        </w:rPr>
        <w:t xml:space="preserve"> مباشرة. </w:t>
      </w:r>
      <w:r w:rsidR="00EA3AD8">
        <w:rPr>
          <w:rFonts w:ascii="Traditional Arabic" w:eastAsia="Times New Roman" w:hAnsi="Traditional Arabic" w:cs="Traditional Arabic" w:hint="cs"/>
          <w:sz w:val="32"/>
          <w:szCs w:val="32"/>
          <w:rtl/>
          <w:lang w:bidi="ar-EG"/>
        </w:rPr>
        <w:t>ويب</w:t>
      </w:r>
      <w:r w:rsidR="00047FA1">
        <w:rPr>
          <w:rFonts w:ascii="Traditional Arabic" w:eastAsia="Times New Roman" w:hAnsi="Traditional Arabic" w:cs="Traditional Arabic" w:hint="cs"/>
          <w:sz w:val="32"/>
          <w:szCs w:val="32"/>
          <w:rtl/>
          <w:lang w:bidi="ar-EG"/>
        </w:rPr>
        <w:t>ي</w:t>
      </w:r>
      <w:r w:rsidR="00EA3AD8">
        <w:rPr>
          <w:rFonts w:ascii="Traditional Arabic" w:eastAsia="Times New Roman" w:hAnsi="Traditional Arabic" w:cs="Traditional Arabic" w:hint="cs"/>
          <w:sz w:val="32"/>
          <w:szCs w:val="32"/>
          <w:rtl/>
          <w:lang w:bidi="ar-EG"/>
        </w:rPr>
        <w:t xml:space="preserve">ن الجدول رقم </w:t>
      </w:r>
      <w:r w:rsidR="0069768A">
        <w:rPr>
          <w:rFonts w:ascii="Traditional Arabic" w:eastAsia="Times New Roman" w:hAnsi="Traditional Arabic" w:cs="Traditional Arabic" w:hint="cs"/>
          <w:sz w:val="24"/>
          <w:szCs w:val="24"/>
          <w:rtl/>
          <w:lang w:bidi="ar-EG"/>
        </w:rPr>
        <w:t>22</w:t>
      </w:r>
      <w:r w:rsidR="00EA3AD8">
        <w:rPr>
          <w:rFonts w:ascii="Traditional Arabic" w:eastAsia="Times New Roman" w:hAnsi="Traditional Arabic" w:cs="Traditional Arabic" w:hint="cs"/>
          <w:sz w:val="24"/>
          <w:szCs w:val="24"/>
          <w:rtl/>
          <w:lang w:bidi="ar-EG"/>
        </w:rPr>
        <w:t xml:space="preserve"> </w:t>
      </w:r>
      <w:r w:rsidR="00EA3AD8" w:rsidRPr="00EA3AD8">
        <w:rPr>
          <w:rFonts w:ascii="Traditional Arabic" w:eastAsia="Times New Roman" w:hAnsi="Traditional Arabic" w:cs="Traditional Arabic" w:hint="cs"/>
          <w:sz w:val="32"/>
          <w:szCs w:val="32"/>
          <w:rtl/>
          <w:lang w:bidi="ar-EG"/>
        </w:rPr>
        <w:t xml:space="preserve">أن </w:t>
      </w:r>
      <w:r w:rsidRPr="00EA3AD8">
        <w:rPr>
          <w:rFonts w:ascii="Traditional Arabic" w:eastAsia="Times New Roman" w:hAnsi="Traditional Arabic" w:cs="Traditional Arabic"/>
          <w:sz w:val="32"/>
          <w:szCs w:val="32"/>
          <w:rtl/>
          <w:lang w:bidi="ar-EG"/>
        </w:rPr>
        <w:t>التحويلات</w:t>
      </w:r>
      <w:r w:rsidRPr="002C10B5">
        <w:rPr>
          <w:rFonts w:ascii="Traditional Arabic" w:eastAsia="Times New Roman" w:hAnsi="Traditional Arabic" w:cs="Traditional Arabic"/>
          <w:sz w:val="32"/>
          <w:szCs w:val="32"/>
          <w:rtl/>
          <w:lang w:bidi="ar-EG"/>
        </w:rPr>
        <w:t xml:space="preserve"> كنسبة مئوية من إجمالي الناتج المحلى</w:t>
      </w:r>
      <w:r w:rsidR="00EA3AD8">
        <w:rPr>
          <w:rFonts w:ascii="Traditional Arabic" w:eastAsia="Times New Roman" w:hAnsi="Traditional Arabic" w:cs="Traditional Arabic" w:hint="cs"/>
          <w:sz w:val="32"/>
          <w:szCs w:val="32"/>
          <w:rtl/>
          <w:lang w:bidi="ar-EG"/>
        </w:rPr>
        <w:t xml:space="preserve"> تشكل</w:t>
      </w:r>
      <w:r>
        <w:rPr>
          <w:rFonts w:ascii="Traditional Arabic" w:eastAsia="Times New Roman" w:hAnsi="Traditional Arabic" w:cs="Traditional Arabic" w:hint="cs"/>
          <w:sz w:val="32"/>
          <w:szCs w:val="32"/>
          <w:rtl/>
          <w:lang w:bidi="ar-EG"/>
        </w:rPr>
        <w:t xml:space="preserve"> في</w:t>
      </w:r>
      <w:r w:rsidRPr="002C10B5">
        <w:rPr>
          <w:rFonts w:ascii="Traditional Arabic" w:eastAsia="Times New Roman" w:hAnsi="Traditional Arabic" w:cs="Traditional Arabic"/>
          <w:sz w:val="32"/>
          <w:szCs w:val="32"/>
          <w:rtl/>
          <w:lang w:bidi="ar-EG"/>
        </w:rPr>
        <w:t xml:space="preserve"> لبنان </w:t>
      </w:r>
      <w:r w:rsidR="00A71AD9">
        <w:rPr>
          <w:rFonts w:ascii="Traditional Arabic" w:eastAsia="Times New Roman" w:hAnsi="Traditional Arabic" w:cs="Traditional Arabic" w:hint="cs"/>
          <w:sz w:val="24"/>
          <w:szCs w:val="24"/>
          <w:rtl/>
          <w:lang w:bidi="ar-EG"/>
        </w:rPr>
        <w:t>24</w:t>
      </w:r>
      <w:r w:rsidRPr="002C10B5">
        <w:rPr>
          <w:rFonts w:ascii="Traditional Arabic" w:eastAsia="Times New Roman" w:hAnsi="Traditional Arabic" w:cs="Traditional Arabic"/>
          <w:sz w:val="24"/>
          <w:szCs w:val="24"/>
          <w:rtl/>
          <w:lang w:bidi="ar-EG"/>
        </w:rPr>
        <w:t>%</w:t>
      </w:r>
      <w:r w:rsidRPr="002C10B5">
        <w:rPr>
          <w:rFonts w:ascii="Traditional Arabic" w:eastAsia="Times New Roman" w:hAnsi="Traditional Arabic" w:cs="Traditional Arabic"/>
          <w:sz w:val="32"/>
          <w:szCs w:val="32"/>
          <w:rtl/>
          <w:lang w:bidi="ar-EG"/>
        </w:rPr>
        <w:t xml:space="preserve">، الأردن </w:t>
      </w:r>
      <w:r w:rsidR="00A71AD9">
        <w:rPr>
          <w:rFonts w:ascii="Traditional Arabic" w:eastAsia="Times New Roman" w:hAnsi="Traditional Arabic" w:cs="Traditional Arabic" w:hint="cs"/>
          <w:sz w:val="24"/>
          <w:szCs w:val="24"/>
          <w:rtl/>
          <w:lang w:bidi="ar-EG"/>
        </w:rPr>
        <w:t>18.5</w:t>
      </w:r>
      <w:r w:rsidRPr="002C10B5">
        <w:rPr>
          <w:rFonts w:ascii="Traditional Arabic" w:eastAsia="Times New Roman" w:hAnsi="Traditional Arabic" w:cs="Traditional Arabic"/>
          <w:sz w:val="24"/>
          <w:szCs w:val="24"/>
          <w:rtl/>
          <w:lang w:bidi="ar-EG"/>
        </w:rPr>
        <w:t>%</w:t>
      </w:r>
      <w:r w:rsidRPr="002C10B5">
        <w:rPr>
          <w:rFonts w:ascii="Traditional Arabic" w:eastAsia="Times New Roman" w:hAnsi="Traditional Arabic" w:cs="Traditional Arabic"/>
          <w:sz w:val="32"/>
          <w:szCs w:val="32"/>
          <w:rtl/>
          <w:lang w:bidi="ar-EG"/>
        </w:rPr>
        <w:t xml:space="preserve">، الضفة الغربية وقطاع غزة </w:t>
      </w:r>
      <w:r w:rsidR="00A71AD9">
        <w:rPr>
          <w:rFonts w:ascii="Traditional Arabic" w:eastAsia="Times New Roman" w:hAnsi="Traditional Arabic" w:cs="Traditional Arabic" w:hint="cs"/>
          <w:sz w:val="24"/>
          <w:szCs w:val="24"/>
          <w:rtl/>
          <w:lang w:bidi="ar-EG"/>
        </w:rPr>
        <w:t>14.9</w:t>
      </w:r>
      <w:r w:rsidRPr="002C10B5">
        <w:rPr>
          <w:rFonts w:ascii="Traditional Arabic" w:eastAsia="Times New Roman" w:hAnsi="Traditional Arabic" w:cs="Traditional Arabic"/>
          <w:sz w:val="24"/>
          <w:szCs w:val="24"/>
          <w:rtl/>
          <w:lang w:bidi="ar-EG"/>
        </w:rPr>
        <w:t>%</w:t>
      </w:r>
      <w:r w:rsidRPr="002C10B5">
        <w:rPr>
          <w:rFonts w:ascii="Traditional Arabic" w:eastAsia="Times New Roman" w:hAnsi="Traditional Arabic" w:cs="Traditional Arabic"/>
          <w:sz w:val="32"/>
          <w:szCs w:val="32"/>
          <w:rtl/>
          <w:lang w:bidi="ar-EG"/>
        </w:rPr>
        <w:t xml:space="preserve">، المغرب </w:t>
      </w:r>
      <w:r w:rsidRPr="002C10B5">
        <w:rPr>
          <w:rFonts w:ascii="Traditional Arabic" w:eastAsia="Times New Roman" w:hAnsi="Traditional Arabic" w:cs="Traditional Arabic"/>
          <w:sz w:val="24"/>
          <w:szCs w:val="24"/>
          <w:rtl/>
          <w:lang w:bidi="ar-EG"/>
        </w:rPr>
        <w:t>9.5%</w:t>
      </w:r>
      <w:r w:rsidRPr="002C10B5">
        <w:rPr>
          <w:rFonts w:ascii="Traditional Arabic" w:eastAsia="Times New Roman" w:hAnsi="Traditional Arabic" w:cs="Traditional Arabic"/>
          <w:sz w:val="32"/>
          <w:szCs w:val="32"/>
          <w:rtl/>
          <w:lang w:bidi="ar-EG"/>
        </w:rPr>
        <w:t xml:space="preserve">، اليمن </w:t>
      </w:r>
      <w:r w:rsidR="00A71AD9">
        <w:rPr>
          <w:rFonts w:ascii="Traditional Arabic" w:eastAsia="Times New Roman" w:hAnsi="Traditional Arabic" w:cs="Traditional Arabic" w:hint="cs"/>
          <w:sz w:val="24"/>
          <w:szCs w:val="24"/>
          <w:rtl/>
          <w:lang w:bidi="ar-EG"/>
        </w:rPr>
        <w:t>5.7</w:t>
      </w:r>
      <w:r w:rsidRPr="002C10B5">
        <w:rPr>
          <w:rFonts w:ascii="Traditional Arabic" w:eastAsia="Times New Roman" w:hAnsi="Traditional Arabic" w:cs="Traditional Arabic"/>
          <w:sz w:val="24"/>
          <w:szCs w:val="24"/>
          <w:rtl/>
          <w:lang w:bidi="ar-EG"/>
        </w:rPr>
        <w:t>%</w:t>
      </w:r>
      <w:r w:rsidRPr="002C10B5">
        <w:rPr>
          <w:rFonts w:ascii="Traditional Arabic" w:eastAsia="Times New Roman" w:hAnsi="Traditional Arabic" w:cs="Traditional Arabic"/>
          <w:sz w:val="32"/>
          <w:szCs w:val="32"/>
          <w:rtl/>
          <w:lang w:bidi="ar-EG"/>
        </w:rPr>
        <w:t xml:space="preserve">، تونس </w:t>
      </w:r>
      <w:r w:rsidRPr="002C10B5">
        <w:rPr>
          <w:rFonts w:ascii="Traditional Arabic" w:eastAsia="Times New Roman" w:hAnsi="Traditional Arabic" w:cs="Traditional Arabic"/>
          <w:sz w:val="24"/>
          <w:szCs w:val="24"/>
          <w:rtl/>
          <w:lang w:bidi="ar-EG"/>
        </w:rPr>
        <w:t>5%</w:t>
      </w:r>
      <w:r w:rsidRPr="002C10B5">
        <w:rPr>
          <w:rFonts w:ascii="Traditional Arabic" w:eastAsia="Times New Roman" w:hAnsi="Traditional Arabic" w:cs="Traditional Arabic"/>
          <w:sz w:val="32"/>
          <w:szCs w:val="32"/>
          <w:rtl/>
          <w:lang w:bidi="ar-EG"/>
        </w:rPr>
        <w:t xml:space="preserve">، مصر </w:t>
      </w:r>
      <w:r w:rsidRPr="002C10B5">
        <w:rPr>
          <w:rFonts w:ascii="Traditional Arabic" w:eastAsia="Times New Roman" w:hAnsi="Traditional Arabic" w:cs="Traditional Arabic"/>
          <w:sz w:val="24"/>
          <w:szCs w:val="24"/>
          <w:rtl/>
          <w:lang w:bidi="ar-EG"/>
        </w:rPr>
        <w:t>5%</w:t>
      </w:r>
      <w:r w:rsidRPr="002C10B5">
        <w:rPr>
          <w:rFonts w:ascii="Traditional Arabic" w:eastAsia="Times New Roman" w:hAnsi="Traditional Arabic" w:cs="Traditional Arabic"/>
          <w:sz w:val="32"/>
          <w:szCs w:val="32"/>
          <w:rtl/>
          <w:lang w:bidi="ar-EG"/>
        </w:rPr>
        <w:t xml:space="preserve">، جيبوتي </w:t>
      </w:r>
      <w:r w:rsidRPr="002C10B5">
        <w:rPr>
          <w:rFonts w:ascii="Traditional Arabic" w:eastAsia="Times New Roman" w:hAnsi="Traditional Arabic" w:cs="Traditional Arabic"/>
          <w:sz w:val="24"/>
          <w:szCs w:val="24"/>
          <w:rtl/>
          <w:lang w:bidi="ar-EG"/>
        </w:rPr>
        <w:t>3.8%</w:t>
      </w:r>
      <w:r w:rsidRPr="002C10B5">
        <w:rPr>
          <w:rFonts w:ascii="Traditional Arabic" w:eastAsia="Times New Roman" w:hAnsi="Traditional Arabic" w:cs="Traditional Arabic"/>
          <w:sz w:val="32"/>
          <w:szCs w:val="32"/>
          <w:rtl/>
          <w:lang w:bidi="ar-EG"/>
        </w:rPr>
        <w:t xml:space="preserve">، سوريا </w:t>
      </w:r>
      <w:r w:rsidR="00A71AD9">
        <w:rPr>
          <w:rFonts w:ascii="Traditional Arabic" w:eastAsia="Times New Roman" w:hAnsi="Traditional Arabic" w:cs="Traditional Arabic" w:hint="cs"/>
          <w:sz w:val="24"/>
          <w:szCs w:val="24"/>
          <w:rtl/>
          <w:lang w:bidi="ar-EG"/>
        </w:rPr>
        <w:t>2.2</w:t>
      </w:r>
      <w:r w:rsidRPr="002C10B5">
        <w:rPr>
          <w:rFonts w:ascii="Traditional Arabic" w:eastAsia="Times New Roman" w:hAnsi="Traditional Arabic" w:cs="Traditional Arabic"/>
          <w:sz w:val="24"/>
          <w:szCs w:val="24"/>
          <w:rtl/>
          <w:lang w:bidi="ar-EG"/>
        </w:rPr>
        <w:t>%</w:t>
      </w:r>
      <w:r w:rsidR="00A71AD9">
        <w:rPr>
          <w:rFonts w:ascii="Traditional Arabic" w:eastAsia="Times New Roman" w:hAnsi="Traditional Arabic" w:cs="Traditional Arabic" w:hint="cs"/>
          <w:sz w:val="32"/>
          <w:szCs w:val="32"/>
          <w:rtl/>
          <w:lang w:bidi="ar-EG"/>
        </w:rPr>
        <w:t xml:space="preserve">، </w:t>
      </w:r>
      <w:r w:rsidRPr="002C10B5">
        <w:rPr>
          <w:rFonts w:ascii="Traditional Arabic" w:eastAsia="Times New Roman" w:hAnsi="Traditional Arabic" w:cs="Traditional Arabic"/>
          <w:sz w:val="32"/>
          <w:szCs w:val="32"/>
          <w:rtl/>
          <w:lang w:bidi="ar-EG"/>
        </w:rPr>
        <w:t xml:space="preserve">الجزائر </w:t>
      </w:r>
      <w:r w:rsidRPr="002C10B5">
        <w:rPr>
          <w:rFonts w:ascii="Traditional Arabic" w:eastAsia="Times New Roman" w:hAnsi="Traditional Arabic" w:cs="Traditional Arabic"/>
          <w:sz w:val="24"/>
          <w:szCs w:val="24"/>
          <w:rtl/>
          <w:lang w:bidi="ar-EG"/>
        </w:rPr>
        <w:t>2.2%</w:t>
      </w:r>
      <w:r w:rsidR="00A71AD9">
        <w:rPr>
          <w:rFonts w:ascii="Traditional Arabic" w:eastAsia="Times New Roman" w:hAnsi="Traditional Arabic" w:cs="Traditional Arabic" w:hint="cs"/>
          <w:sz w:val="32"/>
          <w:szCs w:val="32"/>
          <w:rtl/>
          <w:lang w:bidi="ar-EG"/>
        </w:rPr>
        <w:t xml:space="preserve"> وعمان </w:t>
      </w:r>
      <w:r w:rsidR="00A71AD9" w:rsidRPr="00A71AD9">
        <w:rPr>
          <w:rFonts w:ascii="Traditional Arabic" w:eastAsia="Times New Roman" w:hAnsi="Traditional Arabic" w:cs="Traditional Arabic" w:hint="cs"/>
          <w:sz w:val="24"/>
          <w:szCs w:val="24"/>
          <w:rtl/>
          <w:lang w:bidi="ar-EG"/>
        </w:rPr>
        <w:t>0.1</w:t>
      </w:r>
      <w:r w:rsidR="00A71AD9" w:rsidRPr="00A71AD9">
        <w:rPr>
          <w:rFonts w:ascii="Traditional Arabic" w:eastAsia="Times New Roman" w:hAnsi="Traditional Arabic" w:cs="Traditional Arabic"/>
          <w:sz w:val="24"/>
          <w:szCs w:val="24"/>
          <w:rtl/>
          <w:lang w:bidi="ar-EG"/>
        </w:rPr>
        <w:t>%</w:t>
      </w:r>
      <w:r w:rsidR="00DD33CA" w:rsidRPr="00DD33CA">
        <w:rPr>
          <w:rFonts w:ascii="Traditional Arabic" w:eastAsia="Times New Roman" w:hAnsi="Traditional Arabic" w:cs="Traditional Arabic" w:hint="cs"/>
          <w:sz w:val="32"/>
          <w:szCs w:val="32"/>
          <w:rtl/>
          <w:lang w:bidi="ar-EG"/>
        </w:rPr>
        <w:t>،</w:t>
      </w:r>
      <w:r w:rsidR="00DD33CA">
        <w:rPr>
          <w:rFonts w:ascii="Traditional Arabic" w:eastAsia="Times New Roman" w:hAnsi="Traditional Arabic" w:cs="Traditional Arabic" w:hint="cs"/>
          <w:sz w:val="24"/>
          <w:szCs w:val="24"/>
          <w:rtl/>
          <w:lang w:bidi="ar-EG"/>
        </w:rPr>
        <w:t xml:space="preserve"> </w:t>
      </w:r>
      <w:r w:rsidRPr="002C10B5">
        <w:rPr>
          <w:rFonts w:ascii="Traditional Arabic" w:eastAsia="Times New Roman" w:hAnsi="Traditional Arabic" w:cs="Traditional Arabic"/>
          <w:sz w:val="32"/>
          <w:szCs w:val="32"/>
          <w:rtl/>
          <w:lang w:bidi="ar-EG"/>
        </w:rPr>
        <w:t>ولذلك فهي ذات تأثير هام على أداء الاقتصاد الكلي بهذه الدول، وتتميز هذه التحويلات عن باقي التدفقات المالية باستقرارها النسبي، فضلا عن دورها في تحسين الجدارة الائتمانية للدولة المستقبلة</w:t>
      </w:r>
      <w:r>
        <w:rPr>
          <w:rFonts w:ascii="Traditional Arabic" w:eastAsia="Times New Roman" w:hAnsi="Traditional Arabic" w:cs="Traditional Arabic" w:hint="cs"/>
          <w:sz w:val="32"/>
          <w:szCs w:val="32"/>
          <w:rtl/>
          <w:lang w:bidi="ar-EG"/>
        </w:rPr>
        <w:t>،</w:t>
      </w:r>
      <w:r w:rsidRPr="002C10B5">
        <w:rPr>
          <w:rFonts w:ascii="Traditional Arabic" w:eastAsia="Times New Roman" w:hAnsi="Traditional Arabic" w:cs="Traditional Arabic"/>
          <w:sz w:val="32"/>
          <w:szCs w:val="32"/>
          <w:rtl/>
          <w:lang w:bidi="ar-EG"/>
        </w:rPr>
        <w:t xml:space="preserve"> الأمر الذي يعزز قدرتها على الاقتراض من أسواق المال العالمية.</w:t>
      </w:r>
      <w:r>
        <w:rPr>
          <w:rFonts w:ascii="Traditional Arabic" w:eastAsia="Times New Roman" w:hAnsi="Traditional Arabic" w:cs="Traditional Arabic" w:hint="cs"/>
          <w:sz w:val="32"/>
          <w:szCs w:val="32"/>
          <w:rtl/>
          <w:lang w:bidi="ar-EG"/>
        </w:rPr>
        <w:t xml:space="preserve">  </w:t>
      </w:r>
      <w:r w:rsidR="00DD33CA">
        <w:rPr>
          <w:rFonts w:ascii="Traditional Arabic" w:eastAsia="Times New Roman" w:hAnsi="Traditional Arabic" w:cs="Traditional Arabic" w:hint="cs"/>
          <w:sz w:val="32"/>
          <w:szCs w:val="32"/>
          <w:rtl/>
          <w:lang w:bidi="ar-EG"/>
        </w:rPr>
        <w:t xml:space="preserve">  </w:t>
      </w:r>
    </w:p>
    <w:p w:rsidR="00E84DDF" w:rsidRDefault="00E84DDF" w:rsidP="00E84DDF">
      <w:pPr>
        <w:tabs>
          <w:tab w:val="right" w:pos="565"/>
        </w:tabs>
        <w:bidi/>
        <w:spacing w:before="120" w:after="120"/>
        <w:ind w:firstLine="565"/>
        <w:jc w:val="lowKashida"/>
        <w:rPr>
          <w:rFonts w:ascii="Traditional Arabic" w:eastAsia="Times New Roman" w:hAnsi="Traditional Arabic" w:cs="Traditional Arabic"/>
          <w:sz w:val="32"/>
          <w:szCs w:val="32"/>
          <w:rtl/>
          <w:lang w:bidi="ar-EG"/>
        </w:rPr>
      </w:pPr>
    </w:p>
    <w:p w:rsidR="00E84DDF" w:rsidRDefault="00E84DDF" w:rsidP="00E84DDF">
      <w:pPr>
        <w:tabs>
          <w:tab w:val="right" w:pos="565"/>
        </w:tabs>
        <w:bidi/>
        <w:spacing w:before="120" w:after="120"/>
        <w:ind w:firstLine="565"/>
        <w:jc w:val="lowKashida"/>
        <w:rPr>
          <w:rFonts w:ascii="Traditional Arabic" w:eastAsia="Times New Roman" w:hAnsi="Traditional Arabic" w:cs="Traditional Arabic"/>
          <w:sz w:val="32"/>
          <w:szCs w:val="32"/>
          <w:rtl/>
          <w:lang w:bidi="ar-EG"/>
        </w:rPr>
      </w:pPr>
    </w:p>
    <w:p w:rsidR="00E84DDF" w:rsidRDefault="00E84DDF" w:rsidP="00E84DDF">
      <w:pPr>
        <w:tabs>
          <w:tab w:val="right" w:pos="565"/>
        </w:tabs>
        <w:bidi/>
        <w:spacing w:before="120" w:after="120"/>
        <w:ind w:firstLine="565"/>
        <w:jc w:val="lowKashida"/>
        <w:rPr>
          <w:rFonts w:ascii="Traditional Arabic" w:eastAsia="Times New Roman" w:hAnsi="Traditional Arabic" w:cs="Traditional Arabic"/>
          <w:sz w:val="32"/>
          <w:szCs w:val="32"/>
          <w:rtl/>
          <w:lang w:bidi="ar-EG"/>
        </w:rPr>
      </w:pPr>
    </w:p>
    <w:p w:rsidR="00E84DDF" w:rsidRDefault="00E84DDF" w:rsidP="00E84DDF">
      <w:pPr>
        <w:tabs>
          <w:tab w:val="right" w:pos="565"/>
        </w:tabs>
        <w:bidi/>
        <w:spacing w:before="120" w:after="120"/>
        <w:ind w:firstLine="565"/>
        <w:jc w:val="lowKashida"/>
        <w:rPr>
          <w:rFonts w:ascii="Traditional Arabic" w:eastAsia="Times New Roman" w:hAnsi="Traditional Arabic" w:cs="Traditional Arabic"/>
          <w:sz w:val="32"/>
          <w:szCs w:val="32"/>
          <w:rtl/>
          <w:lang w:bidi="ar-EG"/>
        </w:rPr>
      </w:pPr>
    </w:p>
    <w:p w:rsidR="0082131A" w:rsidRPr="000F447B" w:rsidRDefault="00BC7CE4" w:rsidP="0067613E">
      <w:pPr>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الجدول</w:t>
      </w:r>
      <w:r w:rsidR="0082131A" w:rsidRPr="000F447B">
        <w:rPr>
          <w:rFonts w:ascii="Traditional Arabic" w:hAnsi="Traditional Arabic" w:cs="Traditional Arabic"/>
          <w:sz w:val="32"/>
          <w:szCs w:val="32"/>
          <w:rtl/>
          <w:lang w:bidi="ar-DZ"/>
        </w:rPr>
        <w:t xml:space="preserve"> رقم </w:t>
      </w:r>
      <w:r>
        <w:rPr>
          <w:rFonts w:ascii="Traditional Arabic" w:hAnsi="Traditional Arabic" w:cs="Traditional Arabic" w:hint="cs"/>
          <w:sz w:val="24"/>
          <w:szCs w:val="24"/>
          <w:rtl/>
          <w:lang w:bidi="ar-DZ"/>
        </w:rPr>
        <w:t>22</w:t>
      </w:r>
      <w:r w:rsidR="0082131A" w:rsidRPr="000F447B">
        <w:rPr>
          <w:rFonts w:ascii="Traditional Arabic" w:hAnsi="Traditional Arabic" w:cs="Traditional Arabic"/>
          <w:sz w:val="32"/>
          <w:szCs w:val="32"/>
          <w:rtl/>
          <w:lang w:bidi="ar-DZ"/>
        </w:rPr>
        <w:t>: إجمالي التحويلات المالية كنسبة من إجمالي الناتج المحلي الوطن</w:t>
      </w:r>
      <w:r w:rsidR="00D169BE">
        <w:rPr>
          <w:rFonts w:ascii="Traditional Arabic" w:hAnsi="Traditional Arabic" w:cs="Traditional Arabic"/>
          <w:sz w:val="32"/>
          <w:szCs w:val="32"/>
          <w:rtl/>
          <w:lang w:bidi="ar-DZ"/>
        </w:rPr>
        <w:t xml:space="preserve">ي </w:t>
      </w:r>
      <w:r w:rsidR="00A15BEA">
        <w:rPr>
          <w:rFonts w:ascii="Traditional Arabic" w:hAnsi="Traditional Arabic" w:cs="Traditional Arabic" w:hint="cs"/>
          <w:sz w:val="32"/>
          <w:szCs w:val="32"/>
          <w:rtl/>
          <w:lang w:bidi="ar-DZ"/>
        </w:rPr>
        <w:t>في الدول العربية</w:t>
      </w:r>
    </w:p>
    <w:tbl>
      <w:tblPr>
        <w:tblStyle w:val="Grilledutableau"/>
        <w:tblpPr w:leftFromText="141" w:rightFromText="141" w:vertAnchor="text" w:horzAnchor="margin" w:tblpXSpec="center" w:tblpY="145"/>
        <w:bidiVisual/>
        <w:tblW w:w="0" w:type="auto"/>
        <w:tblLook w:val="04A0"/>
      </w:tblPr>
      <w:tblGrid>
        <w:gridCol w:w="2977"/>
        <w:gridCol w:w="2127"/>
      </w:tblGrid>
      <w:tr w:rsidR="00E84DDF" w:rsidRPr="002C10B5" w:rsidTr="001902A6">
        <w:trPr>
          <w:trHeight w:val="842"/>
        </w:trPr>
        <w:tc>
          <w:tcPr>
            <w:tcW w:w="2977" w:type="dxa"/>
            <w:vAlign w:val="center"/>
          </w:tcPr>
          <w:p w:rsidR="00E84DDF" w:rsidRPr="002C10B5" w:rsidRDefault="00E84DDF" w:rsidP="001902A6">
            <w:pPr>
              <w:tabs>
                <w:tab w:val="right" w:pos="4250"/>
                <w:tab w:val="right" w:pos="4392"/>
                <w:tab w:val="right" w:pos="4959"/>
                <w:tab w:val="right" w:pos="5101"/>
              </w:tabs>
              <w:bidi/>
              <w:ind w:left="2" w:hanging="2"/>
              <w:jc w:val="center"/>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البلدان</w:t>
            </w:r>
          </w:p>
        </w:tc>
        <w:tc>
          <w:tcPr>
            <w:tcW w:w="2127" w:type="dxa"/>
            <w:vAlign w:val="center"/>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8"/>
                <w:szCs w:val="28"/>
                <w:rtl/>
                <w:lang w:bidi="ar-EG"/>
              </w:rPr>
            </w:pPr>
            <w:r w:rsidRPr="004F6FA0">
              <w:rPr>
                <w:rFonts w:ascii="Traditional Arabic" w:eastAsia="Times New Roman" w:hAnsi="Traditional Arabic" w:cs="Traditional Arabic"/>
                <w:sz w:val="28"/>
                <w:szCs w:val="28"/>
                <w:rtl/>
                <w:lang w:bidi="ar-EG"/>
              </w:rPr>
              <w:t xml:space="preserve">نسبة مئوية من </w:t>
            </w:r>
          </w:p>
          <w:p w:rsidR="00E84DDF" w:rsidRPr="002C10B5"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إجمالي الناتج المحلى</w:t>
            </w:r>
          </w:p>
        </w:tc>
      </w:tr>
      <w:tr w:rsidR="00E84DDF" w:rsidRPr="002C10B5" w:rsidTr="001902A6">
        <w:trPr>
          <w:trHeight w:val="419"/>
        </w:trPr>
        <w:tc>
          <w:tcPr>
            <w:tcW w:w="2977" w:type="dxa"/>
          </w:tcPr>
          <w:p w:rsidR="00E84DDF" w:rsidRPr="002C10B5" w:rsidRDefault="00E84DDF" w:rsidP="001902A6">
            <w:pPr>
              <w:tabs>
                <w:tab w:val="center" w:pos="1025"/>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 xml:space="preserve">لبنان   </w:t>
            </w:r>
            <w:r w:rsidRPr="004F6FA0">
              <w:rPr>
                <w:rFonts w:ascii="Traditional Arabic" w:eastAsia="Times New Roman" w:hAnsi="Traditional Arabic" w:cs="Traditional Arabic"/>
                <w:sz w:val="24"/>
                <w:szCs w:val="24"/>
                <w:rtl/>
                <w:lang w:bidi="ar-EG"/>
              </w:rPr>
              <w:t>2007</w:t>
            </w:r>
            <w:r w:rsidRPr="002C10B5">
              <w:rPr>
                <w:rFonts w:ascii="Traditional Arabic" w:eastAsia="Times New Roman" w:hAnsi="Traditional Arabic" w:cs="Traditional Arabic"/>
                <w:sz w:val="26"/>
                <w:szCs w:val="26"/>
                <w:rtl/>
                <w:lang w:bidi="ar-EG"/>
              </w:rPr>
              <w:tab/>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24.0%</w:t>
            </w:r>
          </w:p>
        </w:tc>
      </w:tr>
      <w:tr w:rsidR="00E84DDF" w:rsidRPr="002C10B5" w:rsidTr="001902A6">
        <w:trPr>
          <w:trHeight w:val="419"/>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الأردن</w:t>
            </w:r>
            <w:r w:rsidRPr="004F6FA0">
              <w:rPr>
                <w:rFonts w:ascii="Traditional Arabic" w:eastAsia="Times New Roman" w:hAnsi="Traditional Arabic" w:cs="Traditional Arabic" w:hint="cs"/>
                <w:sz w:val="28"/>
                <w:szCs w:val="28"/>
                <w:rtl/>
                <w:lang w:bidi="ar-EG"/>
              </w:rPr>
              <w:t xml:space="preserve"> </w:t>
            </w:r>
            <w:r w:rsidRPr="004F6FA0">
              <w:rPr>
                <w:rFonts w:ascii="Traditional Arabic" w:eastAsia="Times New Roman" w:hAnsi="Traditional Arabic" w:cs="Traditional Arabic"/>
                <w:sz w:val="24"/>
                <w:szCs w:val="24"/>
                <w:rtl/>
                <w:lang w:bidi="ar-EG"/>
              </w:rPr>
              <w:t>2007</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18.5%</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الضفة الغربية وقطاع غزة</w:t>
            </w:r>
            <w:r w:rsidRPr="004F6FA0">
              <w:rPr>
                <w:rFonts w:ascii="Traditional Arabic" w:eastAsia="Times New Roman" w:hAnsi="Traditional Arabic" w:cs="Traditional Arabic" w:hint="cs"/>
                <w:sz w:val="28"/>
                <w:szCs w:val="28"/>
                <w:rtl/>
                <w:lang w:bidi="ar-EG"/>
              </w:rPr>
              <w:t xml:space="preserve"> </w:t>
            </w:r>
            <w:r w:rsidRPr="004F6FA0">
              <w:rPr>
                <w:rFonts w:ascii="Traditional Arabic" w:eastAsia="Times New Roman" w:hAnsi="Traditional Arabic" w:cs="Traditional Arabic"/>
                <w:sz w:val="24"/>
                <w:szCs w:val="24"/>
                <w:rtl/>
                <w:lang w:bidi="ar-EG"/>
              </w:rPr>
              <w:t>2007</w:t>
            </w:r>
            <w:r w:rsidRPr="004F6FA0">
              <w:rPr>
                <w:rFonts w:ascii="Traditional Arabic" w:eastAsia="Times New Roman" w:hAnsi="Traditional Arabic" w:cs="Traditional Arabic" w:hint="cs"/>
                <w:sz w:val="24"/>
                <w:szCs w:val="24"/>
                <w:rtl/>
                <w:lang w:bidi="ar-EG"/>
              </w:rPr>
              <w:t xml:space="preserve"> </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14.9%</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 xml:space="preserve">المغرب </w:t>
            </w:r>
            <w:r w:rsidRPr="004F6FA0">
              <w:rPr>
                <w:rFonts w:ascii="Traditional Arabic" w:eastAsia="Times New Roman" w:hAnsi="Traditional Arabic" w:cs="Traditional Arabic"/>
                <w:sz w:val="24"/>
                <w:szCs w:val="24"/>
                <w:rtl/>
                <w:lang w:bidi="ar-EG"/>
              </w:rPr>
              <w:t>2006</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9.5%</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32"/>
                <w:szCs w:val="32"/>
                <w:rtl/>
                <w:lang w:bidi="ar-EG"/>
              </w:rPr>
              <w:t>اليمن</w:t>
            </w:r>
            <w:r w:rsidRPr="004F6FA0">
              <w:rPr>
                <w:rFonts w:ascii="Traditional Arabic" w:eastAsia="Times New Roman" w:hAnsi="Traditional Arabic" w:cs="Traditional Arabic" w:hint="cs"/>
                <w:sz w:val="32"/>
                <w:szCs w:val="32"/>
                <w:rtl/>
                <w:lang w:bidi="ar-EG"/>
              </w:rPr>
              <w:t xml:space="preserve">  </w:t>
            </w:r>
            <w:r w:rsidRPr="004F6FA0">
              <w:rPr>
                <w:rFonts w:ascii="Traditional Arabic" w:eastAsia="Times New Roman" w:hAnsi="Traditional Arabic" w:cs="Traditional Arabic"/>
                <w:sz w:val="24"/>
                <w:szCs w:val="24"/>
                <w:rtl/>
                <w:lang w:bidi="ar-EG"/>
              </w:rPr>
              <w:t>2007</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5.7%</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تونس</w:t>
            </w:r>
            <w:r w:rsidRPr="004F6FA0">
              <w:rPr>
                <w:rFonts w:ascii="Traditional Arabic" w:eastAsia="Times New Roman" w:hAnsi="Traditional Arabic" w:cs="Traditional Arabic" w:hint="cs"/>
                <w:sz w:val="28"/>
                <w:szCs w:val="28"/>
                <w:rtl/>
                <w:lang w:bidi="ar-EG"/>
              </w:rPr>
              <w:t xml:space="preserve"> </w:t>
            </w:r>
            <w:r w:rsidRPr="004F6FA0">
              <w:rPr>
                <w:rFonts w:ascii="Traditional Arabic" w:eastAsia="Times New Roman" w:hAnsi="Traditional Arabic" w:cs="Traditional Arabic"/>
                <w:sz w:val="28"/>
                <w:szCs w:val="28"/>
                <w:rtl/>
                <w:lang w:bidi="ar-EG"/>
              </w:rPr>
              <w:t xml:space="preserve"> </w:t>
            </w:r>
            <w:r w:rsidRPr="004F6FA0">
              <w:rPr>
                <w:rFonts w:ascii="Traditional Arabic" w:eastAsia="Times New Roman" w:hAnsi="Traditional Arabic" w:cs="Traditional Arabic"/>
                <w:sz w:val="24"/>
                <w:szCs w:val="24"/>
                <w:rtl/>
                <w:lang w:bidi="ar-EG"/>
              </w:rPr>
              <w:t>2006</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5%</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مصر</w:t>
            </w:r>
            <w:r w:rsidRPr="004F6FA0">
              <w:rPr>
                <w:rFonts w:ascii="Traditional Arabic" w:eastAsia="Times New Roman" w:hAnsi="Traditional Arabic" w:cs="Traditional Arabic" w:hint="cs"/>
                <w:sz w:val="28"/>
                <w:szCs w:val="28"/>
                <w:rtl/>
                <w:lang w:bidi="ar-EG"/>
              </w:rPr>
              <w:t xml:space="preserve">   </w:t>
            </w:r>
            <w:r w:rsidRPr="004F6FA0">
              <w:rPr>
                <w:rFonts w:ascii="Traditional Arabic" w:eastAsia="Times New Roman" w:hAnsi="Traditional Arabic" w:cs="Traditional Arabic"/>
                <w:sz w:val="24"/>
                <w:szCs w:val="24"/>
                <w:rtl/>
                <w:lang w:bidi="ar-EG"/>
              </w:rPr>
              <w:t>2006</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5%</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جيبوتي</w:t>
            </w:r>
            <w:r w:rsidRPr="004F6FA0">
              <w:rPr>
                <w:rFonts w:ascii="Traditional Arabic" w:eastAsia="Times New Roman" w:hAnsi="Traditional Arabic" w:cs="Traditional Arabic" w:hint="cs"/>
                <w:sz w:val="28"/>
                <w:szCs w:val="28"/>
                <w:rtl/>
                <w:lang w:bidi="ar-EG"/>
              </w:rPr>
              <w:t xml:space="preserve"> </w:t>
            </w:r>
            <w:r w:rsidRPr="004F6FA0">
              <w:rPr>
                <w:rFonts w:ascii="Traditional Arabic" w:eastAsia="Times New Roman" w:hAnsi="Traditional Arabic" w:cs="Traditional Arabic"/>
                <w:sz w:val="24"/>
                <w:szCs w:val="24"/>
                <w:rtl/>
                <w:lang w:bidi="ar-EG"/>
              </w:rPr>
              <w:t>2006</w:t>
            </w:r>
            <w:r w:rsidRPr="004F6FA0">
              <w:rPr>
                <w:rFonts w:ascii="Traditional Arabic" w:eastAsia="Times New Roman" w:hAnsi="Traditional Arabic" w:cs="Traditional Arabic" w:hint="cs"/>
                <w:sz w:val="24"/>
                <w:szCs w:val="24"/>
                <w:rtl/>
                <w:lang w:bidi="ar-EG"/>
              </w:rPr>
              <w:t xml:space="preserve">  </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3.8%</w:t>
            </w:r>
          </w:p>
        </w:tc>
      </w:tr>
      <w:tr w:rsidR="00E84DDF" w:rsidRPr="002C10B5" w:rsidTr="001902A6">
        <w:trPr>
          <w:trHeight w:val="379"/>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 xml:space="preserve">سوريا </w:t>
            </w:r>
            <w:r w:rsidRPr="004F6FA0">
              <w:rPr>
                <w:rFonts w:ascii="Traditional Arabic" w:eastAsia="Times New Roman" w:hAnsi="Traditional Arabic" w:cs="Traditional Arabic"/>
                <w:sz w:val="24"/>
                <w:szCs w:val="24"/>
                <w:rtl/>
                <w:lang w:bidi="ar-EG"/>
              </w:rPr>
              <w:t>2007</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2.2%</w:t>
            </w:r>
          </w:p>
        </w:tc>
      </w:tr>
      <w:tr w:rsidR="00E84DDF" w:rsidRPr="002C10B5" w:rsidTr="001902A6">
        <w:trPr>
          <w:trHeight w:val="393"/>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 xml:space="preserve">الجزائر </w:t>
            </w:r>
            <w:r w:rsidRPr="004F6FA0">
              <w:rPr>
                <w:rFonts w:ascii="Traditional Arabic" w:eastAsia="Times New Roman" w:hAnsi="Traditional Arabic" w:cs="Traditional Arabic"/>
                <w:sz w:val="24"/>
                <w:szCs w:val="24"/>
                <w:rtl/>
                <w:lang w:bidi="ar-EG"/>
              </w:rPr>
              <w:t>2006</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2.2%</w:t>
            </w:r>
          </w:p>
        </w:tc>
      </w:tr>
      <w:tr w:rsidR="00E84DDF" w:rsidRPr="002C10B5" w:rsidTr="001902A6">
        <w:trPr>
          <w:trHeight w:val="407"/>
        </w:trPr>
        <w:tc>
          <w:tcPr>
            <w:tcW w:w="2977" w:type="dxa"/>
          </w:tcPr>
          <w:p w:rsidR="00E84DDF" w:rsidRPr="002C10B5" w:rsidRDefault="00E84DDF" w:rsidP="001902A6">
            <w:pPr>
              <w:tabs>
                <w:tab w:val="right" w:pos="4250"/>
                <w:tab w:val="right" w:pos="4392"/>
                <w:tab w:val="right" w:pos="4959"/>
                <w:tab w:val="right" w:pos="5101"/>
              </w:tabs>
              <w:bidi/>
              <w:ind w:hanging="2"/>
              <w:jc w:val="lowKashida"/>
              <w:rPr>
                <w:rFonts w:ascii="Traditional Arabic" w:eastAsia="Times New Roman" w:hAnsi="Traditional Arabic" w:cs="Traditional Arabic"/>
                <w:sz w:val="26"/>
                <w:szCs w:val="26"/>
                <w:rtl/>
                <w:lang w:bidi="ar-EG"/>
              </w:rPr>
            </w:pPr>
            <w:r w:rsidRPr="004F6FA0">
              <w:rPr>
                <w:rFonts w:ascii="Traditional Arabic" w:eastAsia="Times New Roman" w:hAnsi="Traditional Arabic" w:cs="Traditional Arabic"/>
                <w:sz w:val="28"/>
                <w:szCs w:val="28"/>
                <w:rtl/>
                <w:lang w:bidi="ar-EG"/>
              </w:rPr>
              <w:t xml:space="preserve">عمان  </w:t>
            </w:r>
            <w:r w:rsidRPr="004F6FA0">
              <w:rPr>
                <w:rFonts w:ascii="Traditional Arabic" w:eastAsia="Times New Roman" w:hAnsi="Traditional Arabic" w:cs="Traditional Arabic"/>
                <w:sz w:val="24"/>
                <w:szCs w:val="24"/>
                <w:rtl/>
                <w:lang w:bidi="ar-EG"/>
              </w:rPr>
              <w:t xml:space="preserve">2006   </w:t>
            </w:r>
          </w:p>
        </w:tc>
        <w:tc>
          <w:tcPr>
            <w:tcW w:w="2127" w:type="dxa"/>
          </w:tcPr>
          <w:p w:rsidR="00E84DDF" w:rsidRPr="004F6FA0" w:rsidRDefault="00E84DDF" w:rsidP="001902A6">
            <w:pPr>
              <w:tabs>
                <w:tab w:val="right" w:pos="4250"/>
                <w:tab w:val="right" w:pos="4392"/>
                <w:tab w:val="right" w:pos="4959"/>
                <w:tab w:val="right" w:pos="5101"/>
              </w:tabs>
              <w:bidi/>
              <w:ind w:hanging="2"/>
              <w:jc w:val="center"/>
              <w:rPr>
                <w:rFonts w:ascii="Traditional Arabic" w:eastAsia="Times New Roman" w:hAnsi="Traditional Arabic" w:cs="Traditional Arabic"/>
                <w:sz w:val="24"/>
                <w:szCs w:val="24"/>
                <w:rtl/>
                <w:lang w:bidi="ar-EG"/>
              </w:rPr>
            </w:pPr>
            <w:r w:rsidRPr="004F6FA0">
              <w:rPr>
                <w:rFonts w:ascii="Traditional Arabic" w:eastAsia="Times New Roman" w:hAnsi="Traditional Arabic" w:cs="Traditional Arabic"/>
                <w:sz w:val="24"/>
                <w:szCs w:val="24"/>
                <w:rtl/>
                <w:lang w:bidi="ar-EG"/>
              </w:rPr>
              <w:t>0.1%</w:t>
            </w:r>
          </w:p>
        </w:tc>
      </w:tr>
    </w:tbl>
    <w:p w:rsidR="0082131A" w:rsidRPr="002C10B5" w:rsidRDefault="0082131A" w:rsidP="002F59E7">
      <w:pPr>
        <w:tabs>
          <w:tab w:val="right" w:pos="565"/>
        </w:tabs>
        <w:bidi/>
        <w:spacing w:before="120" w:after="120" w:line="240" w:lineRule="auto"/>
        <w:ind w:firstLine="565"/>
        <w:jc w:val="lowKashida"/>
        <w:rPr>
          <w:rFonts w:ascii="Traditional Arabic" w:eastAsia="Times New Roman" w:hAnsi="Traditional Arabic" w:cs="Traditional Arabic"/>
          <w:sz w:val="28"/>
          <w:szCs w:val="28"/>
          <w:rtl/>
          <w:lang w:bidi="ar-EG"/>
        </w:rPr>
      </w:pPr>
    </w:p>
    <w:p w:rsidR="002576A0" w:rsidRDefault="002576A0" w:rsidP="002F59E7">
      <w:pPr>
        <w:tabs>
          <w:tab w:val="right" w:pos="565"/>
        </w:tabs>
        <w:bidi/>
        <w:spacing w:before="120" w:after="120" w:line="240" w:lineRule="auto"/>
        <w:ind w:firstLine="565"/>
        <w:jc w:val="lowKashida"/>
        <w:rPr>
          <w:rFonts w:ascii="Traditional Arabic" w:eastAsia="Times New Roman" w:hAnsi="Traditional Arabic" w:cs="Traditional Arabic"/>
          <w:noProof/>
          <w:sz w:val="28"/>
          <w:szCs w:val="28"/>
        </w:rPr>
      </w:pPr>
    </w:p>
    <w:p w:rsidR="002576A0" w:rsidRDefault="002576A0" w:rsidP="002F59E7">
      <w:pPr>
        <w:tabs>
          <w:tab w:val="right" w:pos="565"/>
        </w:tabs>
        <w:bidi/>
        <w:spacing w:before="120" w:after="120" w:line="240" w:lineRule="auto"/>
        <w:ind w:firstLine="565"/>
        <w:jc w:val="lowKashida"/>
        <w:rPr>
          <w:rFonts w:ascii="Traditional Arabic" w:eastAsia="Times New Roman" w:hAnsi="Traditional Arabic" w:cs="Traditional Arabic"/>
          <w:noProof/>
          <w:sz w:val="28"/>
          <w:szCs w:val="28"/>
        </w:rPr>
      </w:pPr>
    </w:p>
    <w:p w:rsidR="0082131A" w:rsidRDefault="0082131A" w:rsidP="002F59E7">
      <w:pPr>
        <w:tabs>
          <w:tab w:val="right" w:pos="565"/>
        </w:tabs>
        <w:bidi/>
        <w:spacing w:before="120" w:after="120" w:line="240" w:lineRule="auto"/>
        <w:ind w:firstLine="565"/>
        <w:jc w:val="lowKashida"/>
        <w:rPr>
          <w:rFonts w:ascii="Traditional Arabic" w:eastAsia="Times New Roman" w:hAnsi="Traditional Arabic" w:cs="Traditional Arabic"/>
          <w:noProof/>
          <w:sz w:val="28"/>
          <w:szCs w:val="28"/>
        </w:rPr>
      </w:pPr>
    </w:p>
    <w:p w:rsidR="002576A0" w:rsidRDefault="002576A0" w:rsidP="002F59E7">
      <w:pPr>
        <w:tabs>
          <w:tab w:val="right" w:pos="565"/>
        </w:tabs>
        <w:bidi/>
        <w:spacing w:before="120" w:after="120" w:line="240" w:lineRule="auto"/>
        <w:ind w:firstLine="565"/>
        <w:jc w:val="lowKashida"/>
        <w:rPr>
          <w:rFonts w:ascii="Traditional Arabic" w:eastAsia="Times New Roman" w:hAnsi="Traditional Arabic" w:cs="Traditional Arabic"/>
          <w:noProof/>
          <w:sz w:val="28"/>
          <w:szCs w:val="28"/>
        </w:rPr>
      </w:pPr>
    </w:p>
    <w:p w:rsidR="002576A0" w:rsidRDefault="002576A0" w:rsidP="002F59E7">
      <w:pPr>
        <w:tabs>
          <w:tab w:val="right" w:pos="565"/>
        </w:tabs>
        <w:bidi/>
        <w:spacing w:before="120" w:after="120" w:line="240" w:lineRule="auto"/>
        <w:ind w:firstLine="565"/>
        <w:jc w:val="lowKashida"/>
        <w:rPr>
          <w:rFonts w:ascii="Traditional Arabic" w:eastAsia="Times New Roman" w:hAnsi="Traditional Arabic" w:cs="Traditional Arabic"/>
          <w:noProof/>
          <w:sz w:val="28"/>
          <w:szCs w:val="28"/>
        </w:rPr>
      </w:pPr>
    </w:p>
    <w:p w:rsidR="002576A0" w:rsidRDefault="002576A0" w:rsidP="002F59E7">
      <w:pPr>
        <w:tabs>
          <w:tab w:val="right" w:pos="565"/>
          <w:tab w:val="right" w:pos="1982"/>
        </w:tabs>
        <w:bidi/>
        <w:spacing w:before="120" w:after="120" w:line="240" w:lineRule="auto"/>
        <w:ind w:firstLine="565"/>
        <w:jc w:val="lowKashida"/>
        <w:rPr>
          <w:rFonts w:ascii="Traditional Arabic" w:eastAsia="Times New Roman" w:hAnsi="Traditional Arabic" w:cs="Traditional Arabic"/>
          <w:noProof/>
          <w:sz w:val="28"/>
          <w:szCs w:val="28"/>
        </w:rPr>
      </w:pPr>
    </w:p>
    <w:p w:rsidR="002576A0" w:rsidRDefault="002576A0" w:rsidP="002F59E7">
      <w:pPr>
        <w:tabs>
          <w:tab w:val="right" w:pos="565"/>
        </w:tabs>
        <w:bidi/>
        <w:spacing w:before="120" w:after="120" w:line="240" w:lineRule="auto"/>
        <w:ind w:firstLine="565"/>
        <w:jc w:val="lowKashida"/>
        <w:rPr>
          <w:rFonts w:ascii="Traditional Arabic" w:eastAsia="Times New Roman" w:hAnsi="Traditional Arabic" w:cs="Traditional Arabic"/>
          <w:noProof/>
          <w:sz w:val="28"/>
          <w:szCs w:val="28"/>
        </w:rPr>
      </w:pPr>
    </w:p>
    <w:p w:rsidR="002576A0" w:rsidRPr="002C10B5" w:rsidRDefault="002576A0" w:rsidP="002F59E7">
      <w:pPr>
        <w:tabs>
          <w:tab w:val="right" w:pos="565"/>
        </w:tabs>
        <w:bidi/>
        <w:spacing w:before="120" w:after="120" w:line="240" w:lineRule="auto"/>
        <w:ind w:firstLine="565"/>
        <w:jc w:val="lowKashida"/>
        <w:rPr>
          <w:rFonts w:ascii="Traditional Arabic" w:eastAsia="Times New Roman" w:hAnsi="Traditional Arabic" w:cs="Traditional Arabic"/>
          <w:sz w:val="28"/>
          <w:szCs w:val="28"/>
          <w:rtl/>
          <w:lang w:bidi="ar-EG"/>
        </w:rPr>
      </w:pPr>
    </w:p>
    <w:p w:rsidR="004F6FA0" w:rsidRDefault="004F6FA0" w:rsidP="002F59E7">
      <w:pPr>
        <w:bidi/>
        <w:spacing w:after="0" w:line="240" w:lineRule="auto"/>
        <w:rPr>
          <w:rFonts w:ascii="Traditional Arabic" w:hAnsi="Traditional Arabic" w:cs="Traditional Arabic"/>
          <w:sz w:val="28"/>
          <w:szCs w:val="28"/>
          <w:rtl/>
          <w:lang w:bidi="ar-DZ"/>
        </w:rPr>
      </w:pPr>
    </w:p>
    <w:p w:rsidR="002F59E7" w:rsidRDefault="002F59E7" w:rsidP="002F59E7">
      <w:pPr>
        <w:bidi/>
        <w:spacing w:after="0" w:line="240" w:lineRule="auto"/>
        <w:rPr>
          <w:rFonts w:ascii="Traditional Arabic" w:hAnsi="Traditional Arabic" w:cs="Traditional Arabic"/>
          <w:sz w:val="28"/>
          <w:szCs w:val="28"/>
          <w:lang w:bidi="ar-DZ"/>
        </w:rPr>
      </w:pPr>
    </w:p>
    <w:p w:rsidR="0082131A" w:rsidRPr="007F7B98" w:rsidRDefault="00E46E4A" w:rsidP="00E46E4A">
      <w:pPr>
        <w:bidi/>
        <w:spacing w:after="0" w:line="240" w:lineRule="auto"/>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001902A6">
        <w:rPr>
          <w:rFonts w:ascii="Traditional Arabic" w:hAnsi="Traditional Arabic" w:cs="Traditional Arabic" w:hint="cs"/>
          <w:sz w:val="28"/>
          <w:szCs w:val="28"/>
          <w:rtl/>
          <w:lang w:bidi="ar-DZ"/>
        </w:rPr>
        <w:t xml:space="preserve">   </w:t>
      </w:r>
      <w:r w:rsidR="0082131A" w:rsidRPr="007F7B98">
        <w:rPr>
          <w:rFonts w:ascii="Traditional Arabic" w:hAnsi="Traditional Arabic" w:cs="Traditional Arabic"/>
          <w:sz w:val="28"/>
          <w:szCs w:val="28"/>
          <w:rtl/>
          <w:lang w:bidi="ar-DZ"/>
        </w:rPr>
        <w:t xml:space="preserve">المصدر: </w:t>
      </w:r>
      <w:r w:rsidR="00176C86">
        <w:rPr>
          <w:rFonts w:ascii="Traditional Arabic" w:hAnsi="Traditional Arabic" w:cs="Traditional Arabic" w:hint="cs"/>
          <w:sz w:val="28"/>
          <w:szCs w:val="28"/>
          <w:rtl/>
          <w:lang w:bidi="ar-DZ"/>
        </w:rPr>
        <w:t xml:space="preserve">من </w:t>
      </w:r>
      <w:r w:rsidR="00BF2800">
        <w:rPr>
          <w:rFonts w:ascii="Traditional Arabic" w:hAnsi="Traditional Arabic" w:cs="Traditional Arabic" w:hint="cs"/>
          <w:sz w:val="28"/>
          <w:szCs w:val="28"/>
          <w:rtl/>
          <w:lang w:bidi="ar-DZ"/>
        </w:rPr>
        <w:t>إعداد</w:t>
      </w:r>
      <w:r>
        <w:rPr>
          <w:rFonts w:ascii="Traditional Arabic" w:hAnsi="Traditional Arabic" w:cs="Traditional Arabic" w:hint="cs"/>
          <w:sz w:val="28"/>
          <w:szCs w:val="28"/>
          <w:rtl/>
          <w:lang w:bidi="ar-DZ"/>
        </w:rPr>
        <w:t xml:space="preserve"> الباحث: اعتمادا على:</w:t>
      </w:r>
      <w:r w:rsidR="00176C86">
        <w:rPr>
          <w:rFonts w:ascii="Traditional Arabic" w:hAnsi="Traditional Arabic" w:cs="Traditional Arabic" w:hint="cs"/>
          <w:sz w:val="28"/>
          <w:szCs w:val="28"/>
          <w:rtl/>
          <w:lang w:bidi="ar-DZ"/>
        </w:rPr>
        <w:t xml:space="preserve"> </w:t>
      </w:r>
      <w:r w:rsidR="00176C86" w:rsidRPr="003901E1">
        <w:rPr>
          <w:rFonts w:ascii="Traditional Arabic" w:hAnsi="Traditional Arabic" w:cs="Traditional Arabic" w:hint="cs"/>
          <w:sz w:val="28"/>
          <w:szCs w:val="28"/>
          <w:rtl/>
          <w:lang w:bidi="ar-DZ"/>
        </w:rPr>
        <w:t>كريستينا برينت، طارق الحق، نورا كمال: مرجع سابق</w:t>
      </w:r>
      <w:r w:rsidR="0082131A" w:rsidRPr="007F7B98">
        <w:rPr>
          <w:rFonts w:ascii="Traditional Arabic" w:hAnsi="Traditional Arabic" w:cs="Traditional Arabic"/>
          <w:sz w:val="28"/>
          <w:szCs w:val="28"/>
          <w:rtl/>
          <w:lang w:bidi="ar-DZ"/>
        </w:rPr>
        <w:t xml:space="preserve">، ص </w:t>
      </w:r>
      <w:r w:rsidR="0082131A" w:rsidRPr="00C2781C">
        <w:rPr>
          <w:rFonts w:ascii="Traditional Arabic" w:hAnsi="Traditional Arabic" w:cs="Traditional Arabic"/>
          <w:sz w:val="24"/>
          <w:szCs w:val="24"/>
          <w:rtl/>
          <w:lang w:bidi="ar-DZ"/>
        </w:rPr>
        <w:t>18</w:t>
      </w:r>
      <w:r w:rsidR="0082131A" w:rsidRPr="007F7B98">
        <w:rPr>
          <w:rFonts w:ascii="Traditional Arabic" w:hAnsi="Traditional Arabic" w:cs="Traditional Arabic"/>
          <w:sz w:val="28"/>
          <w:szCs w:val="28"/>
          <w:rtl/>
          <w:lang w:bidi="ar-DZ"/>
        </w:rPr>
        <w:t xml:space="preserve">.          </w:t>
      </w:r>
    </w:p>
    <w:p w:rsidR="0082131A" w:rsidRPr="007F7B98" w:rsidRDefault="00176C86" w:rsidP="00E46E4A">
      <w:pPr>
        <w:tabs>
          <w:tab w:val="right" w:pos="565"/>
          <w:tab w:val="right" w:pos="2549"/>
          <w:tab w:val="right" w:pos="3683"/>
        </w:tabs>
        <w:bidi/>
        <w:spacing w:line="240" w:lineRule="auto"/>
        <w:jc w:val="both"/>
        <w:rPr>
          <w:rFonts w:ascii="Traditional Arabic" w:hAnsi="Traditional Arabic" w:cs="Traditional Arabic"/>
          <w:sz w:val="28"/>
          <w:szCs w:val="28"/>
          <w:rtl/>
        </w:rPr>
      </w:pPr>
      <w:r>
        <w:rPr>
          <w:rFonts w:ascii="Traditional Arabic" w:hAnsi="Traditional Arabic" w:cs="Traditional Arabic"/>
          <w:sz w:val="28"/>
          <w:szCs w:val="28"/>
          <w:rtl/>
          <w:lang w:bidi="ar-DZ"/>
        </w:rPr>
        <w:t xml:space="preserve">       </w:t>
      </w:r>
      <w:r w:rsidR="001902A6">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 </w:t>
      </w:r>
      <w:r w:rsidR="0082131A" w:rsidRPr="007F7B98">
        <w:rPr>
          <w:rFonts w:ascii="Traditional Arabic" w:hAnsi="Traditional Arabic" w:cs="Traditional Arabic"/>
          <w:sz w:val="28"/>
          <w:szCs w:val="28"/>
          <w:rtl/>
          <w:lang w:bidi="ar-DZ"/>
        </w:rPr>
        <w:t xml:space="preserve"> </w:t>
      </w:r>
      <w:r w:rsidR="00E46E4A">
        <w:rPr>
          <w:rFonts w:ascii="Traditional Arabic" w:hAnsi="Traditional Arabic" w:cs="Traditional Arabic" w:hint="cs"/>
          <w:sz w:val="28"/>
          <w:szCs w:val="28"/>
          <w:rtl/>
          <w:lang w:bidi="ar-DZ"/>
        </w:rPr>
        <w:t xml:space="preserve">                 </w:t>
      </w:r>
      <w:r w:rsidR="0082131A" w:rsidRPr="007F7B98">
        <w:rPr>
          <w:rFonts w:ascii="Traditional Arabic" w:hAnsi="Traditional Arabic" w:cs="Traditional Arabic"/>
          <w:sz w:val="28"/>
          <w:szCs w:val="28"/>
          <w:rtl/>
        </w:rPr>
        <w:t>تقرير المدير</w:t>
      </w:r>
      <w:r w:rsidR="007F7B98" w:rsidRPr="007F7B98">
        <w:rPr>
          <w:rFonts w:ascii="Traditional Arabic" w:hAnsi="Traditional Arabic" w:cs="Traditional Arabic"/>
          <w:sz w:val="28"/>
          <w:szCs w:val="28"/>
          <w:rtl/>
        </w:rPr>
        <w:t xml:space="preserve"> العام لمكتب العمل العربي: </w:t>
      </w:r>
      <w:r w:rsidR="0082131A" w:rsidRPr="007F7B98">
        <w:rPr>
          <w:rFonts w:ascii="Traditional Arabic" w:hAnsi="Traditional Arabic" w:cs="Traditional Arabic"/>
          <w:sz w:val="28"/>
          <w:szCs w:val="28"/>
          <w:rtl/>
        </w:rPr>
        <w:t xml:space="preserve">مرجع سابق، ص </w:t>
      </w:r>
      <w:r w:rsidR="0082131A" w:rsidRPr="00C2781C">
        <w:rPr>
          <w:rFonts w:ascii="Traditional Arabic" w:hAnsi="Traditional Arabic" w:cs="Traditional Arabic"/>
          <w:sz w:val="24"/>
          <w:szCs w:val="24"/>
          <w:rtl/>
        </w:rPr>
        <w:t>167</w:t>
      </w:r>
      <w:r w:rsidR="0082131A" w:rsidRPr="007F7B98">
        <w:rPr>
          <w:rFonts w:ascii="Traditional Arabic" w:hAnsi="Traditional Arabic" w:cs="Traditional Arabic"/>
          <w:sz w:val="28"/>
          <w:szCs w:val="28"/>
          <w:rtl/>
        </w:rPr>
        <w:t xml:space="preserve">.   </w:t>
      </w:r>
    </w:p>
    <w:p w:rsidR="0082131A" w:rsidRPr="002C10B5" w:rsidRDefault="0082131A" w:rsidP="00E46E4A">
      <w:pPr>
        <w:tabs>
          <w:tab w:val="right" w:pos="565"/>
        </w:tabs>
        <w:bidi/>
        <w:jc w:val="both"/>
        <w:rPr>
          <w:rFonts w:ascii="Traditional Arabic" w:hAnsi="Traditional Arabic" w:cs="Traditional Arabic"/>
          <w:sz w:val="28"/>
          <w:szCs w:val="28"/>
          <w:rtl/>
        </w:rPr>
      </w:pPr>
      <w:r w:rsidRPr="002C10B5">
        <w:rPr>
          <w:rFonts w:ascii="Traditional Arabic" w:hAnsi="Traditional Arabic" w:cs="Traditional Arabic"/>
          <w:sz w:val="28"/>
          <w:szCs w:val="28"/>
          <w:rtl/>
        </w:rPr>
        <w:t xml:space="preserve">        </w:t>
      </w:r>
      <w:r w:rsidRPr="002C10B5">
        <w:rPr>
          <w:rFonts w:ascii="Traditional Arabic" w:eastAsia="Times New Roman" w:hAnsi="Traditional Arabic" w:cs="Traditional Arabic"/>
          <w:sz w:val="32"/>
          <w:szCs w:val="32"/>
          <w:rtl/>
          <w:lang w:bidi="ar-EG"/>
        </w:rPr>
        <w:t xml:space="preserve">ومن المتوقع انخفاض الطلب على العمالة العربية المهاجرة كنتيجة لتراجع حجم الأعمال في الدول المستقبلة للعمالة وبالذات في قطاعات التشييد والبناء. ويعاني العامل العربي، وبالذات في الأسواق الأوروبية من التمييز حيث أنه آخر من يستخدم وأول من يطرد. وتشير بعض التقديرات إلى إمكانية انخفاض العمالة الوافدة إلى دول الخليج العربية بمعدل قد يصل إلى </w:t>
      </w:r>
      <w:r w:rsidRPr="002C10B5">
        <w:rPr>
          <w:rFonts w:ascii="Traditional Arabic" w:eastAsia="Times New Roman" w:hAnsi="Traditional Arabic" w:cs="Traditional Arabic"/>
          <w:sz w:val="24"/>
          <w:szCs w:val="24"/>
          <w:rtl/>
          <w:lang w:bidi="ar-EG"/>
        </w:rPr>
        <w:t xml:space="preserve">30% </w:t>
      </w:r>
      <w:r w:rsidRPr="002C10B5">
        <w:rPr>
          <w:rFonts w:ascii="Traditional Arabic" w:eastAsia="Times New Roman" w:hAnsi="Traditional Arabic" w:cs="Traditional Arabic"/>
          <w:sz w:val="32"/>
          <w:szCs w:val="32"/>
          <w:rtl/>
          <w:lang w:bidi="ar-EG"/>
        </w:rPr>
        <w:t xml:space="preserve">خلال عام </w:t>
      </w:r>
      <w:r w:rsidRPr="002C10B5">
        <w:rPr>
          <w:rFonts w:ascii="Traditional Arabic" w:eastAsia="Times New Roman" w:hAnsi="Traditional Arabic" w:cs="Traditional Arabic"/>
          <w:sz w:val="24"/>
          <w:szCs w:val="24"/>
          <w:rtl/>
          <w:lang w:bidi="ar-EG"/>
        </w:rPr>
        <w:t>2009</w:t>
      </w:r>
      <w:r>
        <w:rPr>
          <w:rFonts w:ascii="Traditional Arabic" w:eastAsia="Times New Roman" w:hAnsi="Traditional Arabic" w:cs="Traditional Arabic" w:hint="cs"/>
          <w:sz w:val="32"/>
          <w:szCs w:val="32"/>
          <w:rtl/>
          <w:lang w:bidi="ar-EG"/>
        </w:rPr>
        <w:t xml:space="preserve">، </w:t>
      </w:r>
      <w:r w:rsidRPr="002C10B5">
        <w:rPr>
          <w:rFonts w:ascii="Traditional Arabic" w:eastAsia="Times New Roman" w:hAnsi="Traditional Arabic" w:cs="Traditional Arabic"/>
          <w:sz w:val="32"/>
          <w:szCs w:val="32"/>
          <w:rtl/>
          <w:lang w:bidi="ar-EG"/>
        </w:rPr>
        <w:t xml:space="preserve">نتيجة تراجع حجم الإنفاق الكلي وتراجع الرواج العقاري، ومع ذلك فهناك قطاعات كثيرة لن تتأثر، إما لارتباطها ببنود الإنفاق الحكومي التي لن تنخفض كثيرا إلا إذا بقى سعر برميل النفط دون الخمسين دولار (حيث اعتمدت موازنات العديد من الدول النفطية على تقديرات لسعر النفط ما بين </w:t>
      </w:r>
      <w:r w:rsidRPr="002C10B5">
        <w:rPr>
          <w:rFonts w:ascii="Traditional Arabic" w:eastAsia="Times New Roman" w:hAnsi="Traditional Arabic" w:cs="Traditional Arabic"/>
          <w:sz w:val="24"/>
          <w:szCs w:val="24"/>
          <w:rtl/>
          <w:lang w:bidi="ar-EG"/>
        </w:rPr>
        <w:t xml:space="preserve">50-70 </w:t>
      </w:r>
      <w:r w:rsidRPr="002C10B5">
        <w:rPr>
          <w:rFonts w:ascii="Traditional Arabic" w:eastAsia="Times New Roman" w:hAnsi="Traditional Arabic" w:cs="Traditional Arabic"/>
          <w:sz w:val="32"/>
          <w:szCs w:val="32"/>
          <w:rtl/>
          <w:lang w:bidi="ar-EG"/>
        </w:rPr>
        <w:t xml:space="preserve">دولار للبرميل)، أو لانخفاض المرونة الدخلية للطلب على بعض أنواع العمالة مثل السائقين والعمالة المنزلية..الخ. </w:t>
      </w:r>
      <w:r>
        <w:rPr>
          <w:rFonts w:ascii="Traditional Arabic" w:eastAsia="Times New Roman" w:hAnsi="Traditional Arabic" w:cs="Traditional Arabic" w:hint="cs"/>
          <w:sz w:val="32"/>
          <w:szCs w:val="32"/>
          <w:rtl/>
          <w:lang w:bidi="ar-EG"/>
        </w:rPr>
        <w:t>كما</w:t>
      </w:r>
      <w:r w:rsidRPr="002C10B5">
        <w:rPr>
          <w:rFonts w:ascii="Traditional Arabic" w:eastAsia="Times New Roman" w:hAnsi="Traditional Arabic" w:cs="Traditional Arabic"/>
          <w:sz w:val="32"/>
          <w:szCs w:val="32"/>
          <w:rtl/>
          <w:lang w:bidi="ar-EG"/>
        </w:rPr>
        <w:t xml:space="preserve"> أن الطلب على العمالة المهنية مثل الأطباء والمهندسين والمدرسين قد لا يتأثر كثيرا وإن تأثرت رواتبهم بالانخفاض مع زيادة</w:t>
      </w:r>
      <w:r>
        <w:rPr>
          <w:rFonts w:ascii="Traditional Arabic" w:eastAsia="Times New Roman" w:hAnsi="Traditional Arabic" w:cs="Traditional Arabic"/>
          <w:sz w:val="32"/>
          <w:szCs w:val="32"/>
          <w:rtl/>
          <w:lang w:bidi="ar-EG"/>
        </w:rPr>
        <w:t xml:space="preserve"> المنافسة وبالذات من العمالة ال</w:t>
      </w:r>
      <w:r>
        <w:rPr>
          <w:rFonts w:ascii="Traditional Arabic" w:eastAsia="Times New Roman" w:hAnsi="Traditional Arabic" w:cs="Traditional Arabic" w:hint="cs"/>
          <w:sz w:val="32"/>
          <w:szCs w:val="32"/>
          <w:rtl/>
          <w:lang w:bidi="ar-EG"/>
        </w:rPr>
        <w:t>آ</w:t>
      </w:r>
      <w:r w:rsidRPr="002C10B5">
        <w:rPr>
          <w:rFonts w:ascii="Traditional Arabic" w:eastAsia="Times New Roman" w:hAnsi="Traditional Arabic" w:cs="Traditional Arabic"/>
          <w:sz w:val="32"/>
          <w:szCs w:val="32"/>
          <w:rtl/>
          <w:lang w:bidi="ar-EG"/>
        </w:rPr>
        <w:t>سيوية. وعلى العموم فإننا نتوقع أن تنخفض تحويلات العاملين العرب خارج بلدانهم في الأمد ا</w:t>
      </w:r>
      <w:r>
        <w:rPr>
          <w:rFonts w:ascii="Traditional Arabic" w:eastAsia="Times New Roman" w:hAnsi="Traditional Arabic" w:cs="Traditional Arabic"/>
          <w:sz w:val="32"/>
          <w:szCs w:val="32"/>
          <w:rtl/>
          <w:lang w:bidi="ar-EG"/>
        </w:rPr>
        <w:t>لمتوسط إذا استمرت الأزمة لسنوات</w:t>
      </w:r>
      <w:r>
        <w:rPr>
          <w:rFonts w:ascii="Traditional Arabic" w:eastAsia="Times New Roman" w:hAnsi="Traditional Arabic" w:cs="Traditional Arabic" w:hint="cs"/>
          <w:sz w:val="32"/>
          <w:szCs w:val="32"/>
          <w:rtl/>
          <w:lang w:bidi="ar-EG"/>
        </w:rPr>
        <w:t>،</w:t>
      </w:r>
      <w:r w:rsidRPr="002C10B5">
        <w:rPr>
          <w:rFonts w:ascii="Traditional Arabic" w:eastAsia="Times New Roman" w:hAnsi="Traditional Arabic" w:cs="Traditional Arabic"/>
          <w:sz w:val="32"/>
          <w:szCs w:val="32"/>
          <w:rtl/>
          <w:lang w:bidi="ar-EG"/>
        </w:rPr>
        <w:t xml:space="preserve"> إلا أنه في الأمد القصير سوف تتأثر التحويلات بسعر صرف العملة الأمريكية خاص</w:t>
      </w:r>
      <w:r>
        <w:rPr>
          <w:rFonts w:ascii="Traditional Arabic" w:eastAsia="Times New Roman" w:hAnsi="Traditional Arabic" w:cs="Traditional Arabic"/>
          <w:sz w:val="32"/>
          <w:szCs w:val="32"/>
          <w:rtl/>
          <w:lang w:bidi="ar-EG"/>
        </w:rPr>
        <w:t>ة بالمقارنة مع العملة الأوروبية</w:t>
      </w:r>
      <w:r w:rsidRPr="002C10B5">
        <w:rPr>
          <w:rFonts w:ascii="Traditional Arabic" w:eastAsia="Times New Roman" w:hAnsi="Traditional Arabic" w:cs="Traditional Arabic"/>
          <w:sz w:val="32"/>
          <w:szCs w:val="32"/>
          <w:rtl/>
          <w:lang w:bidi="ar-EG"/>
        </w:rPr>
        <w:t>.</w:t>
      </w:r>
      <w:r>
        <w:rPr>
          <w:rFonts w:ascii="Traditional Arabic" w:eastAsia="Times New Roman" w:hAnsi="Traditional Arabic" w:cs="Traditional Arabic" w:hint="cs"/>
          <w:sz w:val="32"/>
          <w:szCs w:val="32"/>
          <w:rtl/>
          <w:lang w:bidi="ar-EG"/>
        </w:rPr>
        <w:t xml:space="preserve">  </w:t>
      </w:r>
    </w:p>
    <w:p w:rsidR="00841016" w:rsidRDefault="0082131A" w:rsidP="00B677C2">
      <w:pPr>
        <w:tabs>
          <w:tab w:val="right" w:pos="567"/>
        </w:tabs>
        <w:bidi/>
        <w:spacing w:after="120"/>
        <w:ind w:firstLine="565"/>
        <w:jc w:val="lowKashida"/>
        <w:rPr>
          <w:rFonts w:ascii="Traditional Arabic" w:eastAsia="Times New Roman" w:hAnsi="Traditional Arabic" w:cs="Traditional Arabic"/>
          <w:sz w:val="32"/>
          <w:szCs w:val="32"/>
          <w:rtl/>
          <w:lang w:bidi="ar-EG"/>
        </w:rPr>
      </w:pPr>
      <w:r w:rsidRPr="002C10B5">
        <w:rPr>
          <w:rFonts w:ascii="Traditional Arabic" w:eastAsia="Times New Roman" w:hAnsi="Traditional Arabic" w:cs="Traditional Arabic"/>
          <w:sz w:val="32"/>
          <w:szCs w:val="32"/>
          <w:rtl/>
          <w:lang w:bidi="ar-EG"/>
        </w:rPr>
        <w:lastRenderedPageBreak/>
        <w:t xml:space="preserve">وإذا أخذنا في الاعتبار أن تحويلات العاملين تمثل في المتوسط </w:t>
      </w:r>
      <w:r w:rsidRPr="002C10B5">
        <w:rPr>
          <w:rFonts w:ascii="Traditional Arabic" w:eastAsia="Times New Roman" w:hAnsi="Traditional Arabic" w:cs="Traditional Arabic"/>
          <w:sz w:val="24"/>
          <w:szCs w:val="24"/>
          <w:rtl/>
          <w:lang w:bidi="ar-EG"/>
        </w:rPr>
        <w:t xml:space="preserve">6% </w:t>
      </w:r>
      <w:r w:rsidRPr="002C10B5">
        <w:rPr>
          <w:rFonts w:ascii="Traditional Arabic" w:eastAsia="Times New Roman" w:hAnsi="Traditional Arabic" w:cs="Traditional Arabic"/>
          <w:sz w:val="32"/>
          <w:szCs w:val="32"/>
          <w:rtl/>
          <w:lang w:bidi="ar-EG"/>
        </w:rPr>
        <w:t>من الناتج الإجمالي للدول المرسلة للعمالة، فإن انخفاض</w:t>
      </w:r>
      <w:r>
        <w:rPr>
          <w:rFonts w:ascii="Traditional Arabic" w:eastAsia="Times New Roman" w:hAnsi="Traditional Arabic" w:cs="Traditional Arabic" w:hint="cs"/>
          <w:sz w:val="32"/>
          <w:szCs w:val="32"/>
          <w:rtl/>
          <w:lang w:bidi="ar-EG"/>
        </w:rPr>
        <w:t>ها</w:t>
      </w:r>
      <w:r w:rsidRPr="002C10B5">
        <w:rPr>
          <w:rFonts w:ascii="Traditional Arabic" w:eastAsia="Times New Roman" w:hAnsi="Traditional Arabic" w:cs="Traditional Arabic"/>
          <w:sz w:val="32"/>
          <w:szCs w:val="32"/>
          <w:rtl/>
          <w:lang w:bidi="ar-EG"/>
        </w:rPr>
        <w:t xml:space="preserve"> قد يتسبب في تراجع معدل النمو الاقتصادي</w:t>
      </w:r>
      <w:r>
        <w:rPr>
          <w:rFonts w:ascii="Traditional Arabic" w:eastAsia="Times New Roman" w:hAnsi="Traditional Arabic" w:cs="Traditional Arabic" w:hint="cs"/>
          <w:sz w:val="32"/>
          <w:szCs w:val="32"/>
          <w:rtl/>
          <w:lang w:bidi="ar-EG"/>
        </w:rPr>
        <w:t xml:space="preserve"> لهذه</w:t>
      </w:r>
      <w:r>
        <w:rPr>
          <w:rFonts w:ascii="Traditional Arabic" w:eastAsia="Times New Roman" w:hAnsi="Traditional Arabic" w:cs="Traditional Arabic"/>
          <w:sz w:val="32"/>
          <w:szCs w:val="32"/>
          <w:rtl/>
          <w:lang w:bidi="ar-EG"/>
        </w:rPr>
        <w:t xml:space="preserve"> </w:t>
      </w:r>
      <w:r>
        <w:rPr>
          <w:rFonts w:ascii="Traditional Arabic" w:eastAsia="Times New Roman" w:hAnsi="Traditional Arabic" w:cs="Traditional Arabic" w:hint="cs"/>
          <w:sz w:val="32"/>
          <w:szCs w:val="32"/>
          <w:rtl/>
          <w:lang w:bidi="ar-EG"/>
        </w:rPr>
        <w:t>ا</w:t>
      </w:r>
      <w:r>
        <w:rPr>
          <w:rFonts w:ascii="Traditional Arabic" w:eastAsia="Times New Roman" w:hAnsi="Traditional Arabic" w:cs="Traditional Arabic"/>
          <w:sz w:val="32"/>
          <w:szCs w:val="32"/>
          <w:rtl/>
          <w:lang w:bidi="ar-EG"/>
        </w:rPr>
        <w:t>لبلدان</w:t>
      </w:r>
      <w:r w:rsidRPr="002C10B5">
        <w:rPr>
          <w:rFonts w:ascii="Traditional Arabic" w:eastAsia="Times New Roman" w:hAnsi="Traditional Arabic" w:cs="Traditional Arabic"/>
          <w:sz w:val="32"/>
          <w:szCs w:val="32"/>
          <w:rtl/>
          <w:lang w:bidi="ar-EG"/>
        </w:rPr>
        <w:t>، ناهيك عن الأثر المضاعف لهذه التحويلات التي تساهم عادة في دعم الاستهلاك الخاص والاستثمار المحلي</w:t>
      </w:r>
      <w:r w:rsidRPr="002C10B5">
        <w:rPr>
          <w:rStyle w:val="Appelnotedebasdep"/>
          <w:rFonts w:ascii="Traditional Arabic" w:eastAsia="Times New Roman" w:hAnsi="Traditional Arabic" w:cs="Traditional Arabic"/>
          <w:sz w:val="32"/>
          <w:szCs w:val="32"/>
          <w:rtl/>
          <w:lang w:bidi="ar-EG"/>
        </w:rPr>
        <w:footnoteReference w:id="37"/>
      </w:r>
      <w:r w:rsidRPr="002C10B5">
        <w:rPr>
          <w:rFonts w:ascii="Traditional Arabic" w:eastAsia="Times New Roman" w:hAnsi="Traditional Arabic" w:cs="Traditional Arabic"/>
          <w:sz w:val="32"/>
          <w:szCs w:val="32"/>
          <w:rtl/>
          <w:lang w:bidi="ar-EG"/>
        </w:rPr>
        <w:t xml:space="preserve">.    </w:t>
      </w:r>
      <w:r>
        <w:rPr>
          <w:rFonts w:ascii="Traditional Arabic" w:eastAsia="Times New Roman" w:hAnsi="Traditional Arabic" w:cs="Traditional Arabic" w:hint="cs"/>
          <w:sz w:val="32"/>
          <w:szCs w:val="32"/>
          <w:rtl/>
          <w:lang w:bidi="ar-EG"/>
        </w:rPr>
        <w:t xml:space="preserve">  </w:t>
      </w:r>
    </w:p>
    <w:p w:rsidR="00B35CF7" w:rsidRDefault="00B35CF7" w:rsidP="006B19FB">
      <w:pPr>
        <w:pStyle w:val="En-tte"/>
        <w:bidi/>
        <w:spacing w:line="276" w:lineRule="auto"/>
        <w:rPr>
          <w:rFonts w:ascii="Traditional Arabic" w:hAnsi="Traditional Arabic" w:cs="Traditional Arabic"/>
          <w:b/>
          <w:bCs/>
          <w:sz w:val="32"/>
          <w:szCs w:val="32"/>
          <w:rtl/>
          <w:lang w:bidi="ar-DZ"/>
        </w:rPr>
      </w:pPr>
      <w:r w:rsidRPr="002115F9">
        <w:rPr>
          <w:rFonts w:ascii="Traditional Arabic" w:hAnsi="Traditional Arabic" w:cs="Traditional Arabic"/>
          <w:b/>
          <w:bCs/>
          <w:sz w:val="32"/>
          <w:szCs w:val="32"/>
          <w:rtl/>
          <w:lang w:bidi="ar-DZ"/>
        </w:rPr>
        <w:t xml:space="preserve">المبحث </w:t>
      </w:r>
      <w:r w:rsidR="00F475C4">
        <w:rPr>
          <w:rFonts w:ascii="Traditional Arabic" w:hAnsi="Traditional Arabic" w:cs="Traditional Arabic" w:hint="cs"/>
          <w:b/>
          <w:bCs/>
          <w:sz w:val="32"/>
          <w:szCs w:val="32"/>
          <w:rtl/>
          <w:lang w:bidi="ar-DZ"/>
        </w:rPr>
        <w:t>الرابع</w:t>
      </w:r>
      <w:r w:rsidRPr="002115F9">
        <w:rPr>
          <w:rFonts w:ascii="Traditional Arabic" w:hAnsi="Traditional Arabic" w:cs="Traditional Arabic"/>
          <w:b/>
          <w:bCs/>
          <w:sz w:val="32"/>
          <w:szCs w:val="32"/>
          <w:rtl/>
          <w:lang w:bidi="ar-DZ"/>
        </w:rPr>
        <w:t>: انعكاسات الأزمة المالية العالمية على الاقتصاد الجزائري:</w:t>
      </w:r>
    </w:p>
    <w:p w:rsidR="007E7627" w:rsidRPr="007E7627" w:rsidRDefault="007E7627" w:rsidP="002F59E7">
      <w:pPr>
        <w:pStyle w:val="En-tte"/>
        <w:tabs>
          <w:tab w:val="right" w:pos="565"/>
        </w:tabs>
        <w:bidi/>
        <w:spacing w:after="240" w:line="276"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7E7627">
        <w:rPr>
          <w:rFonts w:ascii="Traditional Arabic" w:hAnsi="Traditional Arabic" w:cs="Traditional Arabic" w:hint="cs"/>
          <w:sz w:val="32"/>
          <w:szCs w:val="32"/>
          <w:rtl/>
          <w:lang w:bidi="ar-DZ"/>
        </w:rPr>
        <w:t xml:space="preserve">سنتناول </w:t>
      </w:r>
      <w:r w:rsidR="00A2384C">
        <w:rPr>
          <w:rFonts w:ascii="Traditional Arabic" w:hAnsi="Traditional Arabic" w:cs="Traditional Arabic" w:hint="cs"/>
          <w:sz w:val="32"/>
          <w:szCs w:val="32"/>
          <w:rtl/>
          <w:lang w:bidi="ar-DZ"/>
        </w:rPr>
        <w:t xml:space="preserve">في هذا المبحث الانعكاسات التجارية والمالية والنقدية للأزمة المالية العالمية على الاقتصاد الجزائري.  </w:t>
      </w:r>
      <w:r>
        <w:rPr>
          <w:rFonts w:ascii="Traditional Arabic" w:hAnsi="Traditional Arabic" w:cs="Traditional Arabic" w:hint="cs"/>
          <w:sz w:val="32"/>
          <w:szCs w:val="32"/>
          <w:rtl/>
          <w:lang w:bidi="ar-DZ"/>
        </w:rPr>
        <w:t xml:space="preserve"> </w:t>
      </w:r>
      <w:r w:rsidRPr="007E7627">
        <w:rPr>
          <w:rFonts w:ascii="Traditional Arabic" w:hAnsi="Traditional Arabic" w:cs="Traditional Arabic" w:hint="cs"/>
          <w:sz w:val="32"/>
          <w:szCs w:val="32"/>
          <w:rtl/>
          <w:lang w:bidi="ar-DZ"/>
        </w:rPr>
        <w:t xml:space="preserve"> </w:t>
      </w:r>
    </w:p>
    <w:p w:rsidR="00B35CF7" w:rsidRPr="002115F9" w:rsidRDefault="00C34DA4" w:rsidP="006B19FB">
      <w:pPr>
        <w:spacing w:after="0"/>
        <w:jc w:val="right"/>
        <w:rPr>
          <w:rFonts w:ascii="Traditional Arabic" w:hAnsi="Traditional Arabic" w:cs="Traditional Arabic"/>
          <w:b/>
          <w:bCs/>
          <w:sz w:val="32"/>
          <w:szCs w:val="32"/>
          <w:lang w:bidi="ar-DZ"/>
        </w:rPr>
      </w:pPr>
      <w:r w:rsidRPr="00C34DA4">
        <w:rPr>
          <w:rFonts w:ascii="Traditional Arabic" w:hAnsi="Traditional Arabic" w:cs="Traditional Arabic" w:hint="cs"/>
          <w:b/>
          <w:bCs/>
          <w:sz w:val="32"/>
          <w:szCs w:val="32"/>
          <w:rtl/>
          <w:lang w:bidi="ar-DZ"/>
        </w:rPr>
        <w:t>المطلب الأول:</w:t>
      </w:r>
      <w:r w:rsidR="00B35CF7" w:rsidRPr="00C34DA4">
        <w:rPr>
          <w:rFonts w:ascii="Traditional Arabic" w:hAnsi="Traditional Arabic" w:cs="Traditional Arabic"/>
          <w:b/>
          <w:bCs/>
          <w:sz w:val="32"/>
          <w:szCs w:val="32"/>
          <w:rtl/>
          <w:lang w:bidi="ar-DZ"/>
        </w:rPr>
        <w:t xml:space="preserve"> الانعكاسات</w:t>
      </w:r>
      <w:r w:rsidR="00B35CF7" w:rsidRPr="002115F9">
        <w:rPr>
          <w:rFonts w:ascii="Traditional Arabic" w:hAnsi="Traditional Arabic" w:cs="Traditional Arabic"/>
          <w:b/>
          <w:bCs/>
          <w:sz w:val="32"/>
          <w:szCs w:val="32"/>
          <w:rtl/>
          <w:lang w:bidi="ar-DZ"/>
        </w:rPr>
        <w:t xml:space="preserve"> التجارية للأزمة المالية على الاقتصاد الجزائري: </w:t>
      </w:r>
    </w:p>
    <w:p w:rsidR="00B35CF7" w:rsidRPr="002115F9" w:rsidRDefault="00B35CF7" w:rsidP="006B19FB">
      <w:pPr>
        <w:bidi/>
        <w:spacing w:after="0"/>
        <w:jc w:val="both"/>
        <w:rPr>
          <w:rFonts w:ascii="Traditional Arabic" w:hAnsi="Traditional Arabic" w:cs="Traditional Arabic"/>
          <w:b/>
          <w:bCs/>
          <w:sz w:val="32"/>
          <w:szCs w:val="32"/>
          <w:rtl/>
          <w:lang w:bidi="ar-DZ"/>
        </w:rPr>
      </w:pPr>
      <w:r w:rsidRPr="002115F9">
        <w:rPr>
          <w:rFonts w:ascii="Traditional Arabic" w:hAnsi="Traditional Arabic" w:cs="Traditional Arabic" w:hint="cs"/>
          <w:b/>
          <w:bCs/>
          <w:sz w:val="24"/>
          <w:szCs w:val="24"/>
          <w:rtl/>
          <w:lang w:bidi="ar-DZ"/>
        </w:rPr>
        <w:t xml:space="preserve">1- </w:t>
      </w:r>
      <w:r w:rsidRPr="002115F9">
        <w:rPr>
          <w:rFonts w:ascii="Traditional Arabic" w:hAnsi="Traditional Arabic" w:cs="Traditional Arabic" w:hint="cs"/>
          <w:b/>
          <w:bCs/>
          <w:sz w:val="32"/>
          <w:szCs w:val="32"/>
          <w:rtl/>
          <w:lang w:bidi="ar-DZ"/>
        </w:rPr>
        <w:t xml:space="preserve">تقلص صادرات الجزائر من المحروقات وتدهور إيراداتها: </w:t>
      </w:r>
    </w:p>
    <w:p w:rsidR="00B35CF7" w:rsidRPr="002115F9" w:rsidRDefault="00B35CF7" w:rsidP="00B677C2">
      <w:pPr>
        <w:tabs>
          <w:tab w:val="right" w:pos="567"/>
        </w:tabs>
        <w:bidi/>
        <w:jc w:val="both"/>
        <w:rPr>
          <w:rFonts w:ascii="Traditional Arabic" w:hAnsi="Traditional Arabic" w:cs="Traditional Arabic"/>
          <w:b/>
          <w:bCs/>
          <w:sz w:val="32"/>
          <w:szCs w:val="32"/>
          <w:rtl/>
          <w:lang w:bidi="ar-DZ"/>
        </w:rPr>
      </w:pPr>
      <w:r w:rsidRPr="002115F9">
        <w:rPr>
          <w:rFonts w:ascii="Traditional Arabic" w:hAnsi="Traditional Arabic" w:cs="Traditional Arabic" w:hint="cs"/>
          <w:b/>
          <w:bCs/>
          <w:sz w:val="32"/>
          <w:szCs w:val="32"/>
          <w:rtl/>
          <w:lang w:bidi="ar-DZ"/>
        </w:rPr>
        <w:t xml:space="preserve">       </w:t>
      </w:r>
      <w:r w:rsidRPr="002115F9">
        <w:rPr>
          <w:rFonts w:ascii="Traditional Arabic" w:hAnsi="Traditional Arabic" w:cs="Traditional Arabic" w:hint="cs"/>
          <w:sz w:val="32"/>
          <w:szCs w:val="32"/>
          <w:rtl/>
          <w:lang w:bidi="ar-DZ"/>
        </w:rPr>
        <w:t>انخفاض أسعار</w:t>
      </w:r>
      <w:r w:rsidRPr="002115F9">
        <w:rPr>
          <w:rFonts w:ascii="Traditional Arabic" w:hAnsi="Traditional Arabic" w:cs="Traditional Arabic" w:hint="cs"/>
          <w:b/>
          <w:bCs/>
          <w:sz w:val="32"/>
          <w:szCs w:val="32"/>
          <w:rtl/>
          <w:lang w:bidi="ar-DZ"/>
        </w:rPr>
        <w:t xml:space="preserve"> </w:t>
      </w:r>
      <w:r w:rsidRPr="002115F9">
        <w:rPr>
          <w:rFonts w:ascii="Traditional Arabic" w:hAnsi="Traditional Arabic" w:cs="Traditional Arabic" w:hint="cs"/>
          <w:sz w:val="32"/>
          <w:szCs w:val="32"/>
          <w:rtl/>
          <w:lang w:bidi="ar-DZ"/>
        </w:rPr>
        <w:t xml:space="preserve">النفط من </w:t>
      </w:r>
      <w:r w:rsidRPr="002115F9">
        <w:rPr>
          <w:rFonts w:ascii="Traditional Arabic" w:hAnsi="Traditional Arabic" w:cs="Traditional Arabic" w:hint="cs"/>
          <w:sz w:val="24"/>
          <w:szCs w:val="24"/>
          <w:rtl/>
          <w:lang w:bidi="ar-DZ"/>
        </w:rPr>
        <w:t xml:space="preserve">147 </w:t>
      </w:r>
      <w:r w:rsidRPr="002115F9">
        <w:rPr>
          <w:rFonts w:ascii="Traditional Arabic" w:hAnsi="Traditional Arabic" w:cs="Traditional Arabic" w:hint="cs"/>
          <w:sz w:val="32"/>
          <w:szCs w:val="32"/>
          <w:rtl/>
          <w:lang w:bidi="ar-DZ"/>
        </w:rPr>
        <w:t xml:space="preserve">دولار للبرميل الواحد إلى حوالي </w:t>
      </w:r>
      <w:r w:rsidR="000635A3">
        <w:rPr>
          <w:rFonts w:ascii="Traditional Arabic" w:hAnsi="Traditional Arabic" w:cs="Traditional Arabic" w:hint="cs"/>
          <w:sz w:val="24"/>
          <w:szCs w:val="24"/>
          <w:rtl/>
          <w:lang w:bidi="ar-DZ"/>
        </w:rPr>
        <w:t>37</w:t>
      </w:r>
      <w:r w:rsidRPr="002115F9">
        <w:rPr>
          <w:rFonts w:ascii="Traditional Arabic" w:hAnsi="Traditional Arabic" w:cs="Traditional Arabic" w:hint="cs"/>
          <w:sz w:val="24"/>
          <w:szCs w:val="24"/>
          <w:rtl/>
          <w:lang w:bidi="ar-DZ"/>
        </w:rPr>
        <w:t xml:space="preserve"> </w:t>
      </w:r>
      <w:r w:rsidRPr="002115F9">
        <w:rPr>
          <w:rFonts w:ascii="Traditional Arabic" w:hAnsi="Traditional Arabic" w:cs="Traditional Arabic" w:hint="cs"/>
          <w:sz w:val="32"/>
          <w:szCs w:val="32"/>
          <w:rtl/>
          <w:lang w:bidi="ar-DZ"/>
        </w:rPr>
        <w:t xml:space="preserve">دولار نتيجة تقلص الطلب العالمي على هذه المادة الإستراتيجية ودخول الاقتصاد العالمي </w:t>
      </w:r>
      <w:r>
        <w:rPr>
          <w:rFonts w:ascii="Traditional Arabic" w:hAnsi="Traditional Arabic" w:cs="Traditional Arabic" w:hint="cs"/>
          <w:sz w:val="32"/>
          <w:szCs w:val="32"/>
          <w:rtl/>
          <w:lang w:bidi="ar-DZ"/>
        </w:rPr>
        <w:t xml:space="preserve">في </w:t>
      </w:r>
      <w:r w:rsidRPr="002115F9">
        <w:rPr>
          <w:rFonts w:ascii="Traditional Arabic" w:hAnsi="Traditional Arabic" w:cs="Traditional Arabic" w:hint="cs"/>
          <w:sz w:val="32"/>
          <w:szCs w:val="32"/>
          <w:rtl/>
          <w:lang w:bidi="ar-DZ"/>
        </w:rPr>
        <w:t>حالة من الركود</w:t>
      </w:r>
      <w:r>
        <w:rPr>
          <w:rFonts w:ascii="Traditional Arabic" w:hAnsi="Traditional Arabic" w:cs="Traditional Arabic" w:hint="cs"/>
          <w:sz w:val="32"/>
          <w:szCs w:val="32"/>
          <w:rtl/>
          <w:lang w:bidi="ar-DZ"/>
        </w:rPr>
        <w:t>، مما أثر سلبي</w:t>
      </w:r>
      <w:r w:rsidRPr="002115F9">
        <w:rPr>
          <w:rFonts w:ascii="Traditional Arabic" w:hAnsi="Traditional Arabic" w:cs="Traditional Arabic" w:hint="cs"/>
          <w:sz w:val="32"/>
          <w:szCs w:val="32"/>
          <w:rtl/>
          <w:lang w:bidi="ar-DZ"/>
        </w:rPr>
        <w:t>ا على مداخيل الدول النفطية</w:t>
      </w:r>
      <w:r>
        <w:rPr>
          <w:rFonts w:ascii="Traditional Arabic" w:hAnsi="Traditional Arabic" w:cs="Traditional Arabic" w:hint="cs"/>
          <w:sz w:val="32"/>
          <w:szCs w:val="32"/>
          <w:rtl/>
          <w:lang w:bidi="ar-DZ"/>
        </w:rPr>
        <w:t>.</w:t>
      </w:r>
      <w:r>
        <w:rPr>
          <w:rFonts w:ascii="Traditional Arabic" w:hAnsi="Traditional Arabic" w:cs="Traditional Arabic" w:hint="cs"/>
          <w:b/>
          <w:bCs/>
          <w:sz w:val="32"/>
          <w:szCs w:val="32"/>
          <w:rtl/>
          <w:lang w:bidi="ar-DZ"/>
        </w:rPr>
        <w:t xml:space="preserve"> </w:t>
      </w:r>
      <w:r w:rsidRPr="002115F9">
        <w:rPr>
          <w:rFonts w:ascii="Traditional Arabic" w:hAnsi="Traditional Arabic" w:cs="Traditional Arabic" w:hint="cs"/>
          <w:sz w:val="32"/>
          <w:szCs w:val="32"/>
          <w:rtl/>
          <w:lang w:bidi="ar-DZ"/>
        </w:rPr>
        <w:t>فانخفاض مستوى النمو الاقتصادي في كل من الولايات المتحدة الأمريكية، الصين، اليابان والهند بسبب الأزمة المالية ال</w:t>
      </w:r>
      <w:r>
        <w:rPr>
          <w:rFonts w:ascii="Traditional Arabic" w:hAnsi="Traditional Arabic" w:cs="Traditional Arabic" w:hint="cs"/>
          <w:sz w:val="32"/>
          <w:szCs w:val="32"/>
          <w:rtl/>
          <w:lang w:bidi="ar-DZ"/>
        </w:rPr>
        <w:t>عالمية أثر على الطلب،</w:t>
      </w:r>
      <w:r w:rsidRPr="002115F9">
        <w:rPr>
          <w:rFonts w:ascii="Traditional Arabic" w:hAnsi="Traditional Arabic" w:cs="Traditional Arabic" w:hint="cs"/>
          <w:sz w:val="32"/>
          <w:szCs w:val="32"/>
          <w:rtl/>
          <w:lang w:bidi="ar-DZ"/>
        </w:rPr>
        <w:t xml:space="preserve"> وازداد الأمر تعقيدا في ظل </w:t>
      </w:r>
      <w:r>
        <w:rPr>
          <w:rFonts w:ascii="Traditional Arabic" w:hAnsi="Traditional Arabic" w:cs="Traditional Arabic" w:hint="cs"/>
          <w:sz w:val="32"/>
          <w:szCs w:val="32"/>
          <w:rtl/>
          <w:lang w:bidi="ar-DZ"/>
        </w:rPr>
        <w:t>إتباع</w:t>
      </w:r>
      <w:r w:rsidRPr="002115F9">
        <w:rPr>
          <w:rFonts w:ascii="Traditional Arabic" w:hAnsi="Traditional Arabic" w:cs="Traditional Arabic" w:hint="cs"/>
          <w:sz w:val="32"/>
          <w:szCs w:val="32"/>
          <w:rtl/>
          <w:lang w:bidi="ar-DZ"/>
        </w:rPr>
        <w:t xml:space="preserve"> س</w:t>
      </w:r>
      <w:r>
        <w:rPr>
          <w:rFonts w:ascii="Traditional Arabic" w:hAnsi="Traditional Arabic" w:cs="Traditional Arabic" w:hint="cs"/>
          <w:sz w:val="32"/>
          <w:szCs w:val="32"/>
          <w:rtl/>
          <w:lang w:bidi="ar-DZ"/>
        </w:rPr>
        <w:t>ياسات ترشيد استهلاك الطاقة</w:t>
      </w:r>
      <w:r w:rsidRPr="002115F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وال</w:t>
      </w:r>
      <w:r w:rsidRPr="002115F9">
        <w:rPr>
          <w:rFonts w:ascii="Traditional Arabic" w:hAnsi="Traditional Arabic" w:cs="Traditional Arabic" w:hint="cs"/>
          <w:sz w:val="32"/>
          <w:szCs w:val="32"/>
          <w:rtl/>
          <w:lang w:bidi="ar-DZ"/>
        </w:rPr>
        <w:t xml:space="preserve">بدائل </w:t>
      </w:r>
      <w:r>
        <w:rPr>
          <w:rFonts w:ascii="Traditional Arabic" w:hAnsi="Traditional Arabic" w:cs="Traditional Arabic" w:hint="cs"/>
          <w:sz w:val="32"/>
          <w:szCs w:val="32"/>
          <w:rtl/>
          <w:lang w:bidi="ar-DZ"/>
        </w:rPr>
        <w:t>الطاقوية</w:t>
      </w:r>
      <w:r w:rsidRPr="002115F9">
        <w:rPr>
          <w:rFonts w:ascii="Traditional Arabic" w:hAnsi="Traditional Arabic" w:cs="Traditional Arabic" w:hint="cs"/>
          <w:sz w:val="32"/>
          <w:szCs w:val="32"/>
          <w:rtl/>
          <w:lang w:bidi="ar-DZ"/>
        </w:rPr>
        <w:t xml:space="preserve"> مثل</w:t>
      </w:r>
      <w:r>
        <w:rPr>
          <w:rFonts w:ascii="Traditional Arabic" w:hAnsi="Traditional Arabic" w:cs="Traditional Arabic" w:hint="cs"/>
          <w:sz w:val="32"/>
          <w:szCs w:val="32"/>
          <w:rtl/>
          <w:lang w:bidi="ar-DZ"/>
        </w:rPr>
        <w:t xml:space="preserve"> الفحم، ووجود عرض فائض من النفط،</w:t>
      </w:r>
      <w:r w:rsidRPr="002115F9">
        <w:rPr>
          <w:rFonts w:ascii="Traditional Arabic" w:hAnsi="Traditional Arabic" w:cs="Traditional Arabic" w:hint="cs"/>
          <w:sz w:val="32"/>
          <w:szCs w:val="32"/>
          <w:rtl/>
          <w:lang w:bidi="ar-DZ"/>
        </w:rPr>
        <w:t xml:space="preserve"> ولم تفلح المحاولات المتكررة المبذولة من طرف منظمة الأوبك في وقف هذا التدهور من خلال تخفيض مستوى الإنتاج</w:t>
      </w:r>
      <w:r w:rsidRPr="002115F9">
        <w:rPr>
          <w:rStyle w:val="Appelnotedebasdep"/>
          <w:rFonts w:ascii="Traditional Arabic" w:eastAsia="Times New Roman" w:hAnsi="Traditional Arabic" w:cs="Traditional Arabic"/>
          <w:color w:val="000000"/>
          <w:sz w:val="32"/>
          <w:szCs w:val="32"/>
          <w:rtl/>
        </w:rPr>
        <w:footnoteReference w:id="38"/>
      </w:r>
      <w:r w:rsidRPr="002115F9">
        <w:rPr>
          <w:rFonts w:ascii="Traditional Arabic" w:hAnsi="Traditional Arabic" w:cs="Traditional Arabic" w:hint="cs"/>
          <w:sz w:val="32"/>
          <w:szCs w:val="32"/>
          <w:rtl/>
          <w:lang w:bidi="ar-DZ"/>
        </w:rPr>
        <w:t xml:space="preserve">.  </w:t>
      </w:r>
      <w:r w:rsidRPr="002115F9">
        <w:rPr>
          <w:rFonts w:ascii="Traditional Arabic" w:hAnsi="Traditional Arabic" w:cs="Traditional Arabic" w:hint="cs"/>
          <w:b/>
          <w:bCs/>
          <w:sz w:val="32"/>
          <w:szCs w:val="32"/>
          <w:rtl/>
          <w:lang w:bidi="ar-DZ"/>
        </w:rPr>
        <w:t xml:space="preserve"> </w:t>
      </w:r>
    </w:p>
    <w:p w:rsidR="00B35CF7" w:rsidRPr="00126E4C" w:rsidRDefault="00B35CF7" w:rsidP="00594ECF">
      <w:pPr>
        <w:tabs>
          <w:tab w:val="right" w:pos="567"/>
        </w:tabs>
        <w:bidi/>
        <w:spacing w:after="0"/>
        <w:jc w:val="both"/>
        <w:rPr>
          <w:rFonts w:ascii="Traditional Arabic" w:hAnsi="Traditional Arabic" w:cs="Traditional Arabic"/>
          <w:sz w:val="32"/>
          <w:szCs w:val="32"/>
          <w:rtl/>
          <w:lang w:bidi="ar-DZ"/>
        </w:rPr>
      </w:pPr>
      <w:r w:rsidRPr="002115F9">
        <w:rPr>
          <w:rFonts w:ascii="Traditional Arabic" w:hAnsi="Traditional Arabic" w:cs="Traditional Arabic" w:hint="cs"/>
          <w:b/>
          <w:bCs/>
          <w:sz w:val="32"/>
          <w:szCs w:val="32"/>
          <w:rtl/>
          <w:lang w:bidi="ar-DZ"/>
        </w:rPr>
        <w:t xml:space="preserve">       </w:t>
      </w:r>
      <w:r w:rsidRPr="002115F9">
        <w:rPr>
          <w:rFonts w:ascii="Traditional Arabic" w:hAnsi="Traditional Arabic" w:cs="Traditional Arabic" w:hint="cs"/>
          <w:sz w:val="32"/>
          <w:szCs w:val="32"/>
          <w:rtl/>
          <w:lang w:bidi="ar-DZ"/>
        </w:rPr>
        <w:t>إن انخفاض أسعار ا</w:t>
      </w:r>
      <w:r>
        <w:rPr>
          <w:rFonts w:ascii="Traditional Arabic" w:hAnsi="Traditional Arabic" w:cs="Traditional Arabic" w:hint="cs"/>
          <w:sz w:val="32"/>
          <w:szCs w:val="32"/>
          <w:rtl/>
          <w:lang w:bidi="ar-DZ"/>
        </w:rPr>
        <w:t>لمحروقات في السوق العالمية وما ترتب عنه من تقل</w:t>
      </w:r>
      <w:r w:rsidRPr="002115F9">
        <w:rPr>
          <w:rFonts w:ascii="Traditional Arabic" w:hAnsi="Traditional Arabic" w:cs="Traditional Arabic" w:hint="cs"/>
          <w:sz w:val="32"/>
          <w:szCs w:val="32"/>
          <w:rtl/>
          <w:lang w:bidi="ar-DZ"/>
        </w:rPr>
        <w:t>ص إنتاج</w:t>
      </w:r>
      <w:r>
        <w:rPr>
          <w:rFonts w:ascii="Traditional Arabic" w:hAnsi="Traditional Arabic" w:cs="Traditional Arabic" w:hint="cs"/>
          <w:sz w:val="32"/>
          <w:szCs w:val="32"/>
          <w:rtl/>
          <w:lang w:bidi="ar-DZ"/>
        </w:rPr>
        <w:t xml:space="preserve"> الجزائر</w:t>
      </w:r>
      <w:r w:rsidRPr="002115F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من ا</w:t>
      </w:r>
      <w:r w:rsidRPr="002115F9">
        <w:rPr>
          <w:rFonts w:ascii="Traditional Arabic" w:hAnsi="Traditional Arabic" w:cs="Traditional Arabic" w:hint="cs"/>
          <w:sz w:val="32"/>
          <w:szCs w:val="32"/>
          <w:rtl/>
          <w:lang w:bidi="ar-DZ"/>
        </w:rPr>
        <w:t xml:space="preserve">لنفط </w:t>
      </w:r>
      <w:r>
        <w:rPr>
          <w:rFonts w:ascii="Traditional Arabic" w:hAnsi="Traditional Arabic" w:cs="Traditional Arabic" w:hint="cs"/>
          <w:sz w:val="32"/>
          <w:szCs w:val="32"/>
          <w:rtl/>
          <w:lang w:bidi="ar-DZ"/>
        </w:rPr>
        <w:t>أدى إلى تراجع</w:t>
      </w:r>
      <w:r w:rsidRPr="002115F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الإيرادات</w:t>
      </w:r>
      <w:r w:rsidRPr="002115F9">
        <w:rPr>
          <w:rFonts w:ascii="Traditional Arabic" w:hAnsi="Traditional Arabic" w:cs="Traditional Arabic" w:hint="cs"/>
          <w:sz w:val="32"/>
          <w:szCs w:val="32"/>
          <w:rtl/>
          <w:lang w:bidi="ar-DZ"/>
        </w:rPr>
        <w:t xml:space="preserve"> من</w:t>
      </w:r>
      <w:r>
        <w:rPr>
          <w:rFonts w:ascii="Traditional Arabic" w:hAnsi="Traditional Arabic" w:cs="Traditional Arabic" w:hint="cs"/>
          <w:sz w:val="32"/>
          <w:szCs w:val="32"/>
          <w:rtl/>
          <w:lang w:bidi="ar-DZ"/>
        </w:rPr>
        <w:t xml:space="preserve"> صادرات المحروقات وتأثر ميزانية الحكومة</w:t>
      </w:r>
      <w:r w:rsidRPr="002115F9">
        <w:rPr>
          <w:rFonts w:ascii="Traditional Arabic" w:hAnsi="Traditional Arabic" w:cs="Traditional Arabic" w:hint="cs"/>
          <w:sz w:val="32"/>
          <w:szCs w:val="32"/>
          <w:rtl/>
          <w:lang w:bidi="ar-DZ"/>
        </w:rPr>
        <w:t xml:space="preserve">. ومن مجموع المداخيل المتأتية من تصدير المحروقات لابد من اقتطاع مبلغ مالي معتبر يخصص لخطة تنمية سوناطراك </w:t>
      </w:r>
      <w:r w:rsidRPr="002115F9">
        <w:rPr>
          <w:rFonts w:ascii="Traditional Arabic" w:hAnsi="Traditional Arabic" w:cs="Traditional Arabic" w:hint="cs"/>
          <w:sz w:val="32"/>
          <w:szCs w:val="32"/>
          <w:rtl/>
        </w:rPr>
        <w:t xml:space="preserve">المقدرة </w:t>
      </w:r>
      <w:r w:rsidRPr="002115F9">
        <w:rPr>
          <w:rFonts w:ascii="Traditional Arabic" w:hAnsi="Traditional Arabic" w:cs="Traditional Arabic"/>
          <w:sz w:val="32"/>
          <w:szCs w:val="32"/>
          <w:rtl/>
        </w:rPr>
        <w:t xml:space="preserve">بأكثر من </w:t>
      </w:r>
      <w:r w:rsidRPr="002115F9">
        <w:rPr>
          <w:rFonts w:ascii="Traditional Arabic" w:hAnsi="Traditional Arabic" w:cs="Traditional Arabic"/>
          <w:sz w:val="24"/>
          <w:szCs w:val="24"/>
          <w:rtl/>
        </w:rPr>
        <w:t xml:space="preserve">63 </w:t>
      </w:r>
      <w:r w:rsidRPr="002115F9">
        <w:rPr>
          <w:rFonts w:ascii="Traditional Arabic" w:hAnsi="Traditional Arabic" w:cs="Traditional Arabic"/>
          <w:sz w:val="32"/>
          <w:szCs w:val="32"/>
          <w:rtl/>
        </w:rPr>
        <w:t>مليار دولار</w:t>
      </w:r>
      <w:r w:rsidRPr="002115F9">
        <w:rPr>
          <w:rFonts w:ascii="Traditional Arabic" w:hAnsi="Traditional Arabic" w:cs="Traditional Arabic" w:hint="cs"/>
          <w:sz w:val="32"/>
          <w:szCs w:val="32"/>
          <w:rtl/>
        </w:rPr>
        <w:t>،</w:t>
      </w:r>
      <w:r w:rsidRPr="002115F9">
        <w:rPr>
          <w:rFonts w:ascii="Traditional Arabic" w:hAnsi="Traditional Arabic" w:cs="Traditional Arabic"/>
          <w:sz w:val="32"/>
          <w:szCs w:val="32"/>
          <w:rtl/>
        </w:rPr>
        <w:t xml:space="preserve"> يضاف إليها </w:t>
      </w:r>
      <w:r w:rsidRPr="0066631F">
        <w:rPr>
          <w:rFonts w:ascii="Traditional Arabic" w:hAnsi="Traditional Arabic" w:cs="Traditional Arabic"/>
          <w:sz w:val="24"/>
          <w:szCs w:val="24"/>
          <w:rtl/>
        </w:rPr>
        <w:t>15</w:t>
      </w:r>
      <w:r w:rsidRPr="002115F9">
        <w:rPr>
          <w:rFonts w:ascii="Traditional Arabic" w:hAnsi="Traditional Arabic" w:cs="Traditional Arabic"/>
          <w:sz w:val="24"/>
          <w:szCs w:val="24"/>
          <w:rtl/>
        </w:rPr>
        <w:t xml:space="preserve"> </w:t>
      </w:r>
      <w:r w:rsidRPr="002115F9">
        <w:rPr>
          <w:rFonts w:ascii="Traditional Arabic" w:hAnsi="Traditional Arabic" w:cs="Traditional Arabic"/>
          <w:sz w:val="32"/>
          <w:szCs w:val="32"/>
          <w:rtl/>
        </w:rPr>
        <w:t>مليار دولار ل</w:t>
      </w:r>
      <w:r w:rsidRPr="002115F9">
        <w:rPr>
          <w:rFonts w:ascii="Traditional Arabic" w:hAnsi="Traditional Arabic" w:cs="Traditional Arabic" w:hint="cs"/>
          <w:sz w:val="32"/>
          <w:szCs w:val="32"/>
          <w:rtl/>
        </w:rPr>
        <w:t>سونلغاز،</w:t>
      </w:r>
      <w:r w:rsidRPr="002115F9">
        <w:rPr>
          <w:rFonts w:ascii="Traditional Arabic" w:hAnsi="Traditional Arabic" w:cs="Traditional Arabic"/>
          <w:sz w:val="32"/>
          <w:szCs w:val="32"/>
          <w:rtl/>
        </w:rPr>
        <w:t xml:space="preserve"> ما بين</w:t>
      </w:r>
      <w:r w:rsidRPr="002115F9">
        <w:rPr>
          <w:rFonts w:ascii="Traditional Arabic" w:hAnsi="Traditional Arabic" w:cs="Traditional Arabic" w:hint="cs"/>
          <w:sz w:val="32"/>
          <w:szCs w:val="32"/>
          <w:rtl/>
        </w:rPr>
        <w:t xml:space="preserve"> الفترة الممتدة من</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2009</w:t>
      </w:r>
      <w:r w:rsidRPr="002115F9">
        <w:rPr>
          <w:rFonts w:ascii="Traditional Arabic" w:hAnsi="Traditional Arabic" w:cs="Traditional Arabic" w:hint="cs"/>
          <w:sz w:val="24"/>
          <w:szCs w:val="24"/>
          <w:rtl/>
        </w:rPr>
        <w:t xml:space="preserve"> </w:t>
      </w:r>
      <w:r w:rsidRPr="002115F9">
        <w:rPr>
          <w:rFonts w:ascii="Traditional Arabic" w:hAnsi="Traditional Arabic" w:cs="Traditional Arabic" w:hint="cs"/>
          <w:sz w:val="32"/>
          <w:szCs w:val="32"/>
          <w:rtl/>
        </w:rPr>
        <w:t>إلى</w:t>
      </w:r>
      <w:r w:rsidRPr="002115F9">
        <w:rPr>
          <w:rFonts w:ascii="Traditional Arabic" w:hAnsi="Traditional Arabic" w:cs="Traditional Arabic" w:hint="cs"/>
          <w:sz w:val="24"/>
          <w:szCs w:val="24"/>
          <w:rtl/>
        </w:rPr>
        <w:t xml:space="preserve"> </w:t>
      </w:r>
      <w:r w:rsidRPr="002115F9">
        <w:rPr>
          <w:rFonts w:ascii="Traditional Arabic" w:hAnsi="Traditional Arabic" w:cs="Traditional Arabic"/>
          <w:sz w:val="24"/>
          <w:szCs w:val="24"/>
          <w:rtl/>
        </w:rPr>
        <w:t>2013</w:t>
      </w:r>
      <w:r w:rsidRPr="002115F9">
        <w:rPr>
          <w:rFonts w:ascii="Traditional Arabic" w:hAnsi="Traditional Arabic" w:cs="Traditional Arabic"/>
          <w:sz w:val="32"/>
          <w:szCs w:val="32"/>
          <w:rtl/>
        </w:rPr>
        <w:t xml:space="preserve">، والتي تبلغ في المجموع </w:t>
      </w:r>
      <w:r w:rsidRPr="002115F9">
        <w:rPr>
          <w:rFonts w:ascii="Traditional Arabic" w:hAnsi="Traditional Arabic" w:cs="Traditional Arabic"/>
          <w:sz w:val="24"/>
          <w:szCs w:val="24"/>
          <w:rtl/>
        </w:rPr>
        <w:t xml:space="preserve">78 </w:t>
      </w:r>
      <w:r w:rsidRPr="002115F9">
        <w:rPr>
          <w:rFonts w:ascii="Traditional Arabic" w:hAnsi="Traditional Arabic" w:cs="Traditional Arabic"/>
          <w:sz w:val="32"/>
          <w:szCs w:val="32"/>
          <w:rtl/>
        </w:rPr>
        <w:t xml:space="preserve">مليار دولار، أي مبلغ سنوي يقترب من </w:t>
      </w:r>
      <w:r w:rsidRPr="002115F9">
        <w:rPr>
          <w:rFonts w:ascii="Traditional Arabic" w:hAnsi="Traditional Arabic" w:cs="Traditional Arabic"/>
          <w:sz w:val="24"/>
          <w:szCs w:val="24"/>
          <w:rtl/>
        </w:rPr>
        <w:t xml:space="preserve">20 </w:t>
      </w:r>
      <w:r w:rsidRPr="002115F9">
        <w:rPr>
          <w:rFonts w:ascii="Traditional Arabic" w:hAnsi="Traditional Arabic" w:cs="Traditional Arabic"/>
          <w:sz w:val="32"/>
          <w:szCs w:val="32"/>
          <w:rtl/>
        </w:rPr>
        <w:t>مليار دولار، كلها ترتكز على التمويل الذاتي</w:t>
      </w:r>
      <w:r w:rsidRPr="002115F9">
        <w:rPr>
          <w:rStyle w:val="Appelnotedebasdep"/>
          <w:rFonts w:ascii="Traditional Arabic" w:hAnsi="Traditional Arabic" w:cs="Traditional Arabic"/>
          <w:sz w:val="32"/>
          <w:szCs w:val="32"/>
          <w:rtl/>
          <w:lang w:bidi="ar-DZ"/>
        </w:rPr>
        <w:footnoteReference w:id="39"/>
      </w:r>
      <w:r w:rsidRPr="002115F9">
        <w:rPr>
          <w:rFonts w:ascii="Traditional Arabic" w:hAnsi="Traditional Arabic" w:cs="Traditional Arabic" w:hint="cs"/>
          <w:sz w:val="32"/>
          <w:szCs w:val="32"/>
          <w:rtl/>
        </w:rPr>
        <w:t xml:space="preserve">، وهذا </w:t>
      </w:r>
      <w:r w:rsidRPr="002115F9">
        <w:rPr>
          <w:rFonts w:ascii="Traditional Arabic" w:hAnsi="Traditional Arabic" w:cs="Traditional Arabic" w:hint="cs"/>
          <w:sz w:val="32"/>
          <w:szCs w:val="32"/>
          <w:rtl/>
          <w:lang w:bidi="ar-DZ"/>
        </w:rPr>
        <w:t xml:space="preserve">من أجل ضمان </w:t>
      </w:r>
      <w:r w:rsidRPr="002115F9">
        <w:rPr>
          <w:rFonts w:ascii="Traditional Arabic" w:hAnsi="Traditional Arabic" w:cs="Traditional Arabic"/>
          <w:sz w:val="32"/>
          <w:szCs w:val="32"/>
          <w:rtl/>
        </w:rPr>
        <w:t>ال</w:t>
      </w:r>
      <w:r>
        <w:rPr>
          <w:rFonts w:ascii="Traditional Arabic" w:hAnsi="Traditional Arabic" w:cs="Traditional Arabic"/>
          <w:sz w:val="32"/>
          <w:szCs w:val="32"/>
          <w:rtl/>
        </w:rPr>
        <w:t>استثمار ومجموع تكاليف الاستغلال</w:t>
      </w:r>
      <w:r w:rsidRPr="002115F9">
        <w:rPr>
          <w:rFonts w:ascii="Traditional Arabic" w:hAnsi="Traditional Arabic" w:cs="Traditional Arabic"/>
          <w:sz w:val="32"/>
          <w:szCs w:val="32"/>
          <w:rtl/>
        </w:rPr>
        <w:t xml:space="preserve"> وحصة الشركاء </w:t>
      </w:r>
      <w:r w:rsidRPr="002115F9">
        <w:rPr>
          <w:rFonts w:ascii="Traditional Arabic" w:hAnsi="Traditional Arabic" w:cs="Traditional Arabic" w:hint="cs"/>
          <w:sz w:val="32"/>
          <w:szCs w:val="32"/>
          <w:rtl/>
        </w:rPr>
        <w:t>ال</w:t>
      </w:r>
      <w:r w:rsidRPr="002115F9">
        <w:rPr>
          <w:rFonts w:ascii="Traditional Arabic" w:hAnsi="Traditional Arabic" w:cs="Traditional Arabic"/>
          <w:sz w:val="32"/>
          <w:szCs w:val="32"/>
          <w:rtl/>
        </w:rPr>
        <w:t>أجانب</w:t>
      </w:r>
      <w:r w:rsidRPr="002115F9">
        <w:rPr>
          <w:rFonts w:ascii="Traditional Arabic" w:hAnsi="Traditional Arabic" w:cs="Traditional Arabic" w:hint="cs"/>
          <w:sz w:val="32"/>
          <w:szCs w:val="32"/>
          <w:rtl/>
        </w:rPr>
        <w:t xml:space="preserve"> من الأرباح</w:t>
      </w:r>
      <w:r w:rsidRPr="002115F9">
        <w:rPr>
          <w:rFonts w:ascii="Traditional Arabic" w:hAnsi="Traditional Arabic" w:cs="Traditional Arabic" w:hint="cs"/>
          <w:sz w:val="32"/>
          <w:szCs w:val="32"/>
          <w:rtl/>
          <w:lang w:bidi="ar-DZ"/>
        </w:rPr>
        <w:t xml:space="preserve">، </w:t>
      </w:r>
      <w:r w:rsidRPr="002115F9">
        <w:rPr>
          <w:rFonts w:ascii="Traditional Arabic" w:hAnsi="Traditional Arabic" w:cs="Traditional Arabic"/>
          <w:sz w:val="32"/>
          <w:szCs w:val="32"/>
          <w:rtl/>
        </w:rPr>
        <w:t xml:space="preserve">للحفاظ على الإنتاج الحالي </w:t>
      </w:r>
      <w:r w:rsidRPr="002115F9">
        <w:rPr>
          <w:rFonts w:ascii="Traditional Arabic" w:hAnsi="Traditional Arabic" w:cs="Traditional Arabic" w:hint="cs"/>
          <w:sz w:val="32"/>
          <w:szCs w:val="32"/>
          <w:rtl/>
        </w:rPr>
        <w:t>ب</w:t>
      </w:r>
      <w:r w:rsidRPr="002115F9">
        <w:rPr>
          <w:rFonts w:ascii="Traditional Arabic" w:hAnsi="Traditional Arabic" w:cs="Traditional Arabic"/>
          <w:sz w:val="32"/>
          <w:szCs w:val="32"/>
          <w:rtl/>
        </w:rPr>
        <w:t>تحقيق المشاريع المستقبلية</w:t>
      </w:r>
      <w:r w:rsidRPr="002115F9">
        <w:rPr>
          <w:rFonts w:ascii="Traditional Arabic" w:hAnsi="Traditional Arabic" w:cs="Traditional Arabic" w:hint="cs"/>
          <w:sz w:val="32"/>
          <w:szCs w:val="32"/>
          <w:rtl/>
        </w:rPr>
        <w:t>،</w:t>
      </w:r>
      <w:r w:rsidRPr="002115F9">
        <w:rPr>
          <w:rFonts w:ascii="Traditional Arabic" w:hAnsi="Traditional Arabic" w:cs="Traditional Arabic"/>
          <w:sz w:val="32"/>
          <w:szCs w:val="32"/>
          <w:rtl/>
        </w:rPr>
        <w:t xml:space="preserve"> لاسيما مع الأحكام الجديدة لقانون </w:t>
      </w:r>
      <w:r w:rsidRPr="002115F9">
        <w:rPr>
          <w:rFonts w:ascii="Traditional Arabic" w:hAnsi="Traditional Arabic" w:cs="Traditional Arabic" w:hint="cs"/>
          <w:sz w:val="32"/>
          <w:szCs w:val="32"/>
          <w:rtl/>
          <w:lang w:bidi="ar-DZ"/>
        </w:rPr>
        <w:t>المحروقات</w:t>
      </w:r>
      <w:r w:rsidRPr="002115F9">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المتخذة خلال عام </w:t>
      </w:r>
      <w:r w:rsidRPr="00145F86">
        <w:rPr>
          <w:rFonts w:ascii="Traditional Arabic" w:hAnsi="Traditional Arabic" w:cs="Traditional Arabic" w:hint="cs"/>
          <w:sz w:val="24"/>
          <w:szCs w:val="24"/>
          <w:rtl/>
        </w:rPr>
        <w:t xml:space="preserve">2008 </w:t>
      </w:r>
      <w:r>
        <w:rPr>
          <w:rFonts w:ascii="Traditional Arabic" w:hAnsi="Traditional Arabic" w:cs="Traditional Arabic" w:hint="cs"/>
          <w:sz w:val="32"/>
          <w:szCs w:val="32"/>
          <w:rtl/>
        </w:rPr>
        <w:lastRenderedPageBreak/>
        <w:t>والقاضية برفع نصيب</w:t>
      </w:r>
      <w:r w:rsidRPr="00CB2979">
        <w:rPr>
          <w:rFonts w:ascii="Traditional Arabic" w:hAnsi="Traditional Arabic" w:cs="Traditional Arabic"/>
          <w:sz w:val="32"/>
          <w:szCs w:val="32"/>
          <w:rtl/>
        </w:rPr>
        <w:t xml:space="preserve"> </w:t>
      </w:r>
      <w:r w:rsidRPr="002115F9">
        <w:rPr>
          <w:rFonts w:ascii="Traditional Arabic" w:hAnsi="Traditional Arabic" w:cs="Traditional Arabic"/>
          <w:sz w:val="32"/>
          <w:szCs w:val="32"/>
          <w:rtl/>
        </w:rPr>
        <w:t>مشاركة</w:t>
      </w:r>
      <w:r>
        <w:rPr>
          <w:rFonts w:ascii="Traditional Arabic" w:hAnsi="Traditional Arabic" w:cs="Traditional Arabic" w:hint="cs"/>
          <w:sz w:val="32"/>
          <w:szCs w:val="32"/>
          <w:rtl/>
        </w:rPr>
        <w:t xml:space="preserve"> الدولة </w:t>
      </w:r>
      <w:r w:rsidRPr="002A4DD5">
        <w:rPr>
          <w:rFonts w:ascii="Traditional Arabic" w:eastAsia="Times New Roman" w:hAnsi="Traditional Arabic" w:cs="Traditional Arabic" w:hint="cs"/>
          <w:color w:val="000000"/>
          <w:sz w:val="32"/>
          <w:szCs w:val="32"/>
          <w:rtl/>
        </w:rPr>
        <w:t>في الاستثمارات مع الأطراف الأجنبية</w:t>
      </w:r>
      <w:r w:rsidRPr="002115F9">
        <w:rPr>
          <w:rFonts w:ascii="Traditional Arabic" w:hAnsi="Traditional Arabic" w:cs="Traditional Arabic"/>
          <w:sz w:val="32"/>
          <w:szCs w:val="32"/>
          <w:rtl/>
        </w:rPr>
        <w:t xml:space="preserve"> بأكثر من </w:t>
      </w:r>
      <w:r w:rsidRPr="002115F9">
        <w:rPr>
          <w:rFonts w:ascii="Traditional Arabic" w:hAnsi="Traditional Arabic" w:cs="Traditional Arabic"/>
          <w:sz w:val="24"/>
          <w:szCs w:val="24"/>
          <w:rtl/>
        </w:rPr>
        <w:t>51</w:t>
      </w:r>
      <w:r w:rsidRPr="002115F9">
        <w:rPr>
          <w:rFonts w:ascii="Traditional Arabic" w:eastAsia="Times New Roman" w:hAnsi="Traditional Arabic" w:cs="Traditional Arabic"/>
          <w:color w:val="000000"/>
          <w:sz w:val="24"/>
          <w:szCs w:val="24"/>
          <w:rtl/>
        </w:rPr>
        <w:t>%</w:t>
      </w:r>
      <w:r w:rsidRPr="002115F9">
        <w:rPr>
          <w:rFonts w:ascii="Traditional Arabic" w:hAnsi="Traditional Arabic" w:cs="Traditional Arabic"/>
          <w:sz w:val="32"/>
          <w:szCs w:val="32"/>
          <w:rtl/>
        </w:rPr>
        <w:t xml:space="preserve">، وحتى في قطاعات أقل ربحية مثل خطوط الأنابيب، </w:t>
      </w:r>
      <w:r w:rsidRPr="002115F9">
        <w:rPr>
          <w:rFonts w:ascii="Traditional Arabic" w:hAnsi="Traditional Arabic" w:cs="Traditional Arabic" w:hint="cs"/>
          <w:sz w:val="32"/>
          <w:szCs w:val="32"/>
          <w:rtl/>
        </w:rPr>
        <w:t>مع</w:t>
      </w:r>
      <w:r w:rsidRPr="002115F9">
        <w:rPr>
          <w:rFonts w:ascii="Traditional Arabic" w:hAnsi="Traditional Arabic" w:cs="Traditional Arabic"/>
          <w:sz w:val="32"/>
          <w:szCs w:val="32"/>
          <w:rtl/>
        </w:rPr>
        <w:t xml:space="preserve"> افتراض أن</w:t>
      </w:r>
      <w:r w:rsidRPr="002115F9">
        <w:rPr>
          <w:rFonts w:ascii="Traditional Arabic" w:hAnsi="Traditional Arabic" w:cs="Traditional Arabic" w:hint="cs"/>
          <w:sz w:val="32"/>
          <w:szCs w:val="32"/>
          <w:rtl/>
        </w:rPr>
        <w:t>ه</w:t>
      </w:r>
      <w:r w:rsidRPr="002115F9">
        <w:rPr>
          <w:rFonts w:ascii="Traditional Arabic" w:hAnsi="Traditional Arabic" w:cs="Traditional Arabic"/>
          <w:sz w:val="32"/>
          <w:szCs w:val="32"/>
          <w:rtl/>
        </w:rPr>
        <w:t xml:space="preserve"> ليس من الواضح</w:t>
      </w:r>
      <w:r w:rsidRPr="002115F9">
        <w:rPr>
          <w:rFonts w:ascii="Traditional Arabic" w:hAnsi="Traditional Arabic" w:cs="Traditional Arabic" w:hint="cs"/>
          <w:sz w:val="32"/>
          <w:szCs w:val="32"/>
          <w:rtl/>
        </w:rPr>
        <w:t xml:space="preserve"> قدوم</w:t>
      </w:r>
      <w:r w:rsidRPr="002115F9">
        <w:rPr>
          <w:rFonts w:ascii="Traditional Arabic" w:hAnsi="Traditional Arabic" w:cs="Traditional Arabic"/>
          <w:sz w:val="32"/>
          <w:szCs w:val="32"/>
          <w:rtl/>
        </w:rPr>
        <w:t xml:space="preserve"> مستثمرين أجانب مع سعر برميل منخفض في حدود </w:t>
      </w:r>
      <w:r w:rsidRPr="002115F9">
        <w:rPr>
          <w:rFonts w:ascii="Traditional Arabic" w:hAnsi="Traditional Arabic" w:cs="Traditional Arabic"/>
          <w:sz w:val="24"/>
          <w:szCs w:val="24"/>
          <w:rtl/>
        </w:rPr>
        <w:t>50</w:t>
      </w:r>
      <w:r w:rsidRPr="002115F9">
        <w:rPr>
          <w:rFonts w:ascii="Traditional Arabic" w:hAnsi="Traditional Arabic" w:cs="Traditional Arabic" w:hint="cs"/>
          <w:sz w:val="24"/>
          <w:szCs w:val="24"/>
          <w:rtl/>
        </w:rPr>
        <w:t xml:space="preserve"> </w:t>
      </w:r>
      <w:r w:rsidRPr="002115F9">
        <w:rPr>
          <w:rFonts w:ascii="Traditional Arabic" w:hAnsi="Traditional Arabic" w:cs="Traditional Arabic" w:hint="cs"/>
          <w:sz w:val="32"/>
          <w:szCs w:val="32"/>
          <w:rtl/>
        </w:rPr>
        <w:t xml:space="preserve">إلى </w:t>
      </w:r>
      <w:r w:rsidRPr="002115F9">
        <w:rPr>
          <w:rFonts w:ascii="Traditional Arabic" w:hAnsi="Traditional Arabic" w:cs="Traditional Arabic"/>
          <w:sz w:val="24"/>
          <w:szCs w:val="24"/>
          <w:rtl/>
        </w:rPr>
        <w:t xml:space="preserve">60 </w:t>
      </w:r>
      <w:r w:rsidRPr="002115F9">
        <w:rPr>
          <w:rFonts w:ascii="Traditional Arabic" w:hAnsi="Traditional Arabic" w:cs="Traditional Arabic"/>
          <w:sz w:val="32"/>
          <w:szCs w:val="32"/>
          <w:rtl/>
        </w:rPr>
        <w:t xml:space="preserve">دولار بسبب تكاليف الإنتاج في الجزائر </w:t>
      </w:r>
      <w:r w:rsidRPr="002115F9">
        <w:rPr>
          <w:rFonts w:ascii="Traditional Arabic" w:hAnsi="Traditional Arabic" w:cs="Traditional Arabic" w:hint="cs"/>
          <w:sz w:val="32"/>
          <w:szCs w:val="32"/>
          <w:rtl/>
        </w:rPr>
        <w:t>ال</w:t>
      </w:r>
      <w:r w:rsidRPr="002115F9">
        <w:rPr>
          <w:rFonts w:ascii="Traditional Arabic" w:hAnsi="Traditional Arabic" w:cs="Traditional Arabic"/>
          <w:sz w:val="32"/>
          <w:szCs w:val="32"/>
          <w:rtl/>
        </w:rPr>
        <w:t>مرتفعة مقارنة بجميع دول أوبك.</w:t>
      </w:r>
      <w:r w:rsidRPr="002115F9">
        <w:rPr>
          <w:rFonts w:ascii="Traditional Arabic" w:hAnsi="Traditional Arabic" w:cs="Traditional Arabic" w:hint="cs"/>
          <w:sz w:val="32"/>
          <w:szCs w:val="32"/>
          <w:rtl/>
          <w:lang w:bidi="ar-DZ"/>
        </w:rPr>
        <w:t xml:space="preserve"> ومن تم فإن المبلغ المتبقي العائد للخزينة العمومية يتقلص بانخفاض سعر النفط وتقلص مستوى الإنتاج والصادرات. </w:t>
      </w:r>
    </w:p>
    <w:p w:rsidR="00B35CF7" w:rsidRPr="002115F9" w:rsidRDefault="00B35CF7" w:rsidP="00594ECF">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2115F9">
        <w:rPr>
          <w:rFonts w:ascii="Traditional Arabic" w:hAnsi="Traditional Arabic" w:cs="Traditional Arabic" w:hint="cs"/>
          <w:sz w:val="32"/>
          <w:szCs w:val="32"/>
          <w:rtl/>
          <w:lang w:bidi="ar-DZ"/>
        </w:rPr>
        <w:t xml:space="preserve">  ففي</w:t>
      </w:r>
      <w:r w:rsidRPr="002115F9">
        <w:rPr>
          <w:rFonts w:ascii="Traditional Arabic" w:hAnsi="Traditional Arabic" w:cs="Traditional Arabic"/>
          <w:sz w:val="32"/>
          <w:szCs w:val="32"/>
          <w:rtl/>
        </w:rPr>
        <w:t xml:space="preserve"> </w:t>
      </w:r>
      <w:r>
        <w:rPr>
          <w:rFonts w:ascii="Traditional Arabic" w:hAnsi="Traditional Arabic" w:cs="Traditional Arabic" w:hint="cs"/>
          <w:sz w:val="32"/>
          <w:szCs w:val="32"/>
          <w:rtl/>
        </w:rPr>
        <w:t>عام</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 xml:space="preserve">2007 </w:t>
      </w:r>
      <w:r w:rsidRPr="002115F9">
        <w:rPr>
          <w:rFonts w:ascii="Traditional Arabic" w:hAnsi="Traditional Arabic" w:cs="Traditional Arabic"/>
          <w:sz w:val="32"/>
          <w:szCs w:val="32"/>
          <w:rtl/>
        </w:rPr>
        <w:t>دفعت</w:t>
      </w:r>
      <w:r>
        <w:rPr>
          <w:rFonts w:ascii="Traditional Arabic" w:hAnsi="Traditional Arabic" w:cs="Traditional Arabic" w:hint="cs"/>
          <w:sz w:val="32"/>
          <w:szCs w:val="32"/>
          <w:rtl/>
        </w:rPr>
        <w:t xml:space="preserve"> سوناطراك</w:t>
      </w:r>
      <w:r w:rsidRPr="002115F9">
        <w:rPr>
          <w:rFonts w:ascii="Traditional Arabic" w:hAnsi="Traditional Arabic" w:cs="Traditional Arabic"/>
          <w:sz w:val="32"/>
          <w:szCs w:val="32"/>
          <w:rtl/>
        </w:rPr>
        <w:t xml:space="preserve"> للخز</w:t>
      </w:r>
      <w:r w:rsidRPr="002115F9">
        <w:rPr>
          <w:rFonts w:ascii="Traditional Arabic" w:hAnsi="Traditional Arabic" w:cs="Traditional Arabic" w:hint="cs"/>
          <w:sz w:val="32"/>
          <w:szCs w:val="32"/>
          <w:rtl/>
        </w:rPr>
        <w:t>ي</w:t>
      </w:r>
      <w:r w:rsidRPr="002115F9">
        <w:rPr>
          <w:rFonts w:ascii="Traditional Arabic" w:hAnsi="Traditional Arabic" w:cs="Traditional Arabic"/>
          <w:sz w:val="32"/>
          <w:szCs w:val="32"/>
          <w:rtl/>
        </w:rPr>
        <w:t xml:space="preserve">نة العمومية بموجب ضريبة النفط </w:t>
      </w:r>
      <w:r>
        <w:rPr>
          <w:rFonts w:ascii="Traditional Arabic" w:hAnsi="Traditional Arabic" w:cs="Traditional Arabic" w:hint="cs"/>
          <w:sz w:val="32"/>
          <w:szCs w:val="32"/>
          <w:rtl/>
        </w:rPr>
        <w:t>م</w:t>
      </w:r>
      <w:r w:rsidRPr="002115F9">
        <w:rPr>
          <w:rFonts w:ascii="Traditional Arabic" w:hAnsi="Traditional Arabic" w:cs="Traditional Arabic"/>
          <w:sz w:val="32"/>
          <w:szCs w:val="32"/>
          <w:rtl/>
        </w:rPr>
        <w:t xml:space="preserve">بلغ </w:t>
      </w:r>
      <w:r w:rsidRPr="002115F9">
        <w:rPr>
          <w:rFonts w:ascii="Traditional Arabic" w:hAnsi="Traditional Arabic" w:cs="Traditional Arabic"/>
          <w:sz w:val="24"/>
          <w:szCs w:val="24"/>
          <w:rtl/>
        </w:rPr>
        <w:t xml:space="preserve">2790 </w:t>
      </w:r>
      <w:r w:rsidRPr="002115F9">
        <w:rPr>
          <w:rFonts w:ascii="Traditional Arabic" w:hAnsi="Traditional Arabic" w:cs="Traditional Arabic"/>
          <w:sz w:val="32"/>
          <w:szCs w:val="32"/>
          <w:rtl/>
        </w:rPr>
        <w:t>مليار دينار (</w:t>
      </w:r>
      <w:r w:rsidRPr="002115F9">
        <w:rPr>
          <w:rFonts w:ascii="Traditional Arabic" w:hAnsi="Traditional Arabic" w:cs="Traditional Arabic"/>
          <w:sz w:val="24"/>
          <w:szCs w:val="24"/>
          <w:rtl/>
        </w:rPr>
        <w:t xml:space="preserve">43.6 </w:t>
      </w:r>
      <w:r w:rsidRPr="002115F9">
        <w:rPr>
          <w:rFonts w:ascii="Traditional Arabic" w:hAnsi="Traditional Arabic" w:cs="Traditional Arabic"/>
          <w:sz w:val="32"/>
          <w:szCs w:val="32"/>
          <w:rtl/>
        </w:rPr>
        <w:t>مليار دولار)</w:t>
      </w:r>
      <w:r w:rsidR="00203057">
        <w:rPr>
          <w:rFonts w:ascii="Traditional Arabic" w:hAnsi="Traditional Arabic" w:cs="Traditional Arabic" w:hint="cs"/>
          <w:sz w:val="32"/>
          <w:szCs w:val="32"/>
          <w:rtl/>
        </w:rPr>
        <w:t>،</w:t>
      </w:r>
      <w:r w:rsidRPr="002115F9">
        <w:rPr>
          <w:rFonts w:ascii="Traditional Arabic" w:hAnsi="Traditional Arabic" w:cs="Traditional Arabic"/>
          <w:sz w:val="32"/>
          <w:szCs w:val="32"/>
          <w:rtl/>
        </w:rPr>
        <w:t xml:space="preserve"> بينما بلغ حجم النفط الذي </w:t>
      </w:r>
      <w:r w:rsidRPr="002115F9">
        <w:rPr>
          <w:rFonts w:ascii="Traditional Arabic" w:hAnsi="Traditional Arabic" w:cs="Traditional Arabic" w:hint="cs"/>
          <w:sz w:val="32"/>
          <w:szCs w:val="32"/>
          <w:rtl/>
        </w:rPr>
        <w:t>بيع</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 xml:space="preserve">164.9 </w:t>
      </w:r>
      <w:r w:rsidRPr="002115F9">
        <w:rPr>
          <w:rFonts w:ascii="Traditional Arabic" w:hAnsi="Traditional Arabic" w:cs="Traditional Arabic"/>
          <w:sz w:val="32"/>
          <w:szCs w:val="32"/>
          <w:rtl/>
        </w:rPr>
        <w:t xml:space="preserve">مليون </w:t>
      </w:r>
      <w:r w:rsidR="00594ECF" w:rsidRPr="00594ECF">
        <w:rPr>
          <w:rStyle w:val="Appelnotedebasdep"/>
          <w:rFonts w:ascii="Traditional Arabic" w:hAnsi="Traditional Arabic" w:cs="Traditional Arabic"/>
          <w:sz w:val="32"/>
          <w:szCs w:val="32"/>
        </w:rPr>
        <w:footnoteReference w:customMarkFollows="1" w:id="40"/>
        <w:sym w:font="Symbol" w:char="F02A"/>
      </w:r>
      <w:r w:rsidRPr="002115F9">
        <w:rPr>
          <w:rStyle w:val="CharacterStyle1"/>
          <w:rFonts w:ascii="Traditional Arabic" w:hAnsi="Traditional Arabic" w:cs="Traditional Arabic"/>
          <w:spacing w:val="11"/>
          <w:sz w:val="24"/>
          <w:szCs w:val="24"/>
        </w:rPr>
        <w:t>TEP</w:t>
      </w:r>
      <w:r w:rsidRPr="002115F9">
        <w:rPr>
          <w:rStyle w:val="CharacterStyle1"/>
          <w:rFonts w:ascii="Traditional Arabic" w:hAnsi="Traditional Arabic" w:cs="Traditional Arabic"/>
          <w:spacing w:val="11"/>
          <w:sz w:val="24"/>
          <w:szCs w:val="24"/>
          <w:rtl/>
        </w:rPr>
        <w:t xml:space="preserve"> </w:t>
      </w:r>
      <w:r w:rsidRPr="002115F9">
        <w:rPr>
          <w:rStyle w:val="CharacterStyle1"/>
          <w:rFonts w:ascii="Traditional Arabic" w:hAnsi="Traditional Arabic" w:cs="Traditional Arabic" w:hint="cs"/>
          <w:spacing w:val="11"/>
          <w:sz w:val="32"/>
          <w:szCs w:val="32"/>
          <w:rtl/>
        </w:rPr>
        <w:t xml:space="preserve">منها </w:t>
      </w:r>
      <w:r w:rsidRPr="002115F9">
        <w:rPr>
          <w:rFonts w:ascii="Traditional Arabic" w:hAnsi="Traditional Arabic" w:cs="Traditional Arabic"/>
          <w:sz w:val="24"/>
          <w:szCs w:val="24"/>
          <w:rtl/>
        </w:rPr>
        <w:t xml:space="preserve">134.1 </w:t>
      </w:r>
      <w:r w:rsidRPr="002115F9">
        <w:rPr>
          <w:rFonts w:ascii="Traditional Arabic" w:hAnsi="Traditional Arabic" w:cs="Traditional Arabic"/>
          <w:sz w:val="32"/>
          <w:szCs w:val="32"/>
          <w:rtl/>
        </w:rPr>
        <w:t xml:space="preserve">مليون تسليم إلى السوق الدولية، مع رقم أعمال للتصدير بلغ </w:t>
      </w:r>
      <w:r w:rsidRPr="002115F9">
        <w:rPr>
          <w:rFonts w:ascii="Traditional Arabic" w:hAnsi="Traditional Arabic" w:cs="Traditional Arabic"/>
          <w:sz w:val="24"/>
          <w:szCs w:val="24"/>
          <w:rtl/>
        </w:rPr>
        <w:t xml:space="preserve">59.5 </w:t>
      </w:r>
      <w:r w:rsidRPr="002115F9">
        <w:rPr>
          <w:rFonts w:ascii="Traditional Arabic" w:hAnsi="Traditional Arabic" w:cs="Traditional Arabic"/>
          <w:sz w:val="32"/>
          <w:szCs w:val="32"/>
          <w:rtl/>
        </w:rPr>
        <w:t>مليار</w:t>
      </w:r>
      <w:r w:rsidRPr="002115F9">
        <w:rPr>
          <w:rFonts w:ascii="Traditional Arabic" w:hAnsi="Traditional Arabic" w:cs="Traditional Arabic" w:hint="cs"/>
          <w:sz w:val="32"/>
          <w:szCs w:val="32"/>
          <w:rtl/>
        </w:rPr>
        <w:t xml:space="preserve"> دولار،</w:t>
      </w:r>
      <w:r w:rsidRPr="002115F9">
        <w:rPr>
          <w:rFonts w:ascii="Traditional Arabic" w:hAnsi="Traditional Arabic" w:cs="Traditional Arabic"/>
          <w:sz w:val="32"/>
          <w:szCs w:val="32"/>
          <w:rtl/>
        </w:rPr>
        <w:t xml:space="preserve"> كما أن القدرة التمويلية للشركة كانت</w:t>
      </w:r>
      <w:r w:rsidRPr="002115F9">
        <w:rPr>
          <w:rFonts w:ascii="Traditional Arabic" w:hAnsi="Traditional Arabic" w:cs="Traditional Arabic" w:hint="cs"/>
          <w:sz w:val="32"/>
          <w:szCs w:val="32"/>
          <w:rtl/>
        </w:rPr>
        <w:t xml:space="preserve"> تقدر ما بين</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 xml:space="preserve">819 </w:t>
      </w:r>
      <w:r w:rsidRPr="002115F9">
        <w:rPr>
          <w:rFonts w:ascii="Traditional Arabic" w:hAnsi="Traditional Arabic" w:cs="Traditional Arabic" w:hint="cs"/>
          <w:sz w:val="32"/>
          <w:szCs w:val="32"/>
          <w:rtl/>
        </w:rPr>
        <w:t>مليار</w:t>
      </w:r>
      <w:r w:rsidRPr="002115F9">
        <w:rPr>
          <w:rFonts w:ascii="Traditional Arabic" w:hAnsi="Traditional Arabic" w:cs="Traditional Arabic"/>
          <w:sz w:val="32"/>
          <w:szCs w:val="32"/>
          <w:rtl/>
        </w:rPr>
        <w:t xml:space="preserve"> دينار</w:t>
      </w:r>
      <w:r w:rsidRPr="002115F9">
        <w:rPr>
          <w:rFonts w:ascii="Traditional Arabic" w:hAnsi="Traditional Arabic" w:cs="Traditional Arabic" w:hint="cs"/>
          <w:sz w:val="32"/>
          <w:szCs w:val="32"/>
          <w:rtl/>
        </w:rPr>
        <w:t xml:space="preserve"> و</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 xml:space="preserve">905 </w:t>
      </w:r>
      <w:r w:rsidRPr="002115F9">
        <w:rPr>
          <w:rFonts w:ascii="Traditional Arabic" w:hAnsi="Traditional Arabic" w:cs="Traditional Arabic"/>
          <w:sz w:val="32"/>
          <w:szCs w:val="32"/>
          <w:rtl/>
        </w:rPr>
        <w:t xml:space="preserve">مليار </w:t>
      </w:r>
      <w:r w:rsidRPr="002115F9">
        <w:rPr>
          <w:rFonts w:ascii="Traditional Arabic" w:hAnsi="Traditional Arabic" w:cs="Traditional Arabic" w:hint="cs"/>
          <w:sz w:val="32"/>
          <w:szCs w:val="32"/>
          <w:rtl/>
        </w:rPr>
        <w:t xml:space="preserve">دينار </w:t>
      </w:r>
      <w:r w:rsidRPr="002115F9">
        <w:rPr>
          <w:rFonts w:ascii="Traditional Arabic" w:hAnsi="Traditional Arabic" w:cs="Traditional Arabic"/>
          <w:sz w:val="32"/>
          <w:szCs w:val="32"/>
          <w:rtl/>
        </w:rPr>
        <w:t xml:space="preserve">في عام </w:t>
      </w:r>
      <w:r w:rsidRPr="002115F9">
        <w:rPr>
          <w:rFonts w:ascii="Traditional Arabic" w:hAnsi="Traditional Arabic" w:cs="Traditional Arabic"/>
          <w:sz w:val="24"/>
          <w:szCs w:val="24"/>
          <w:rtl/>
        </w:rPr>
        <w:t>2006</w:t>
      </w:r>
      <w:r w:rsidRPr="002115F9">
        <w:rPr>
          <w:rFonts w:ascii="Traditional Arabic" w:hAnsi="Traditional Arabic" w:cs="Traditional Arabic"/>
          <w:sz w:val="32"/>
          <w:szCs w:val="32"/>
          <w:rtl/>
        </w:rPr>
        <w:t xml:space="preserve"> (أكثر من </w:t>
      </w:r>
      <w:r w:rsidRPr="002115F9">
        <w:rPr>
          <w:rFonts w:ascii="Traditional Arabic" w:hAnsi="Traditional Arabic" w:cs="Traditional Arabic"/>
          <w:sz w:val="24"/>
          <w:szCs w:val="24"/>
          <w:rtl/>
        </w:rPr>
        <w:t xml:space="preserve">13 </w:t>
      </w:r>
      <w:r w:rsidRPr="002115F9">
        <w:rPr>
          <w:rFonts w:ascii="Traditional Arabic" w:hAnsi="Traditional Arabic" w:cs="Traditional Arabic"/>
          <w:sz w:val="32"/>
          <w:szCs w:val="32"/>
          <w:rtl/>
        </w:rPr>
        <w:t>مليار دولار)</w:t>
      </w:r>
      <w:r w:rsidRPr="002115F9">
        <w:rPr>
          <w:rStyle w:val="Appelnotedebasdep"/>
          <w:rFonts w:ascii="Traditional Arabic" w:hAnsi="Traditional Arabic" w:cs="Traditional Arabic"/>
          <w:sz w:val="32"/>
          <w:szCs w:val="32"/>
          <w:rtl/>
        </w:rPr>
        <w:footnoteReference w:id="41"/>
      </w:r>
      <w:r w:rsidRPr="002115F9">
        <w:rPr>
          <w:rFonts w:ascii="Traditional Arabic" w:hAnsi="Traditional Arabic" w:cs="Traditional Arabic"/>
          <w:sz w:val="32"/>
          <w:szCs w:val="32"/>
          <w:rtl/>
        </w:rPr>
        <w:t>. مع الإشارة إلى</w:t>
      </w:r>
      <w:r w:rsidRPr="002115F9">
        <w:rPr>
          <w:rFonts w:ascii="Traditional Arabic" w:hAnsi="Traditional Arabic" w:cs="Traditional Arabic" w:hint="cs"/>
          <w:sz w:val="32"/>
          <w:szCs w:val="32"/>
          <w:rtl/>
        </w:rPr>
        <w:t xml:space="preserve"> أنه في عام</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2008</w:t>
      </w:r>
      <w:r w:rsidRPr="002115F9">
        <w:rPr>
          <w:rFonts w:ascii="Traditional Arabic" w:hAnsi="Traditional Arabic" w:cs="Traditional Arabic" w:hint="cs"/>
          <w:sz w:val="32"/>
          <w:szCs w:val="32"/>
          <w:rtl/>
        </w:rPr>
        <w:t xml:space="preserve"> بلغت </w:t>
      </w:r>
      <w:r w:rsidRPr="002115F9">
        <w:rPr>
          <w:rFonts w:ascii="Traditional Arabic" w:hAnsi="Traditional Arabic" w:cs="Traditional Arabic"/>
          <w:sz w:val="32"/>
          <w:szCs w:val="32"/>
          <w:rtl/>
        </w:rPr>
        <w:t>عائدات الجزائر تق</w:t>
      </w:r>
      <w:r w:rsidRPr="002115F9">
        <w:rPr>
          <w:rFonts w:ascii="Traditional Arabic" w:hAnsi="Traditional Arabic" w:cs="Traditional Arabic" w:hint="cs"/>
          <w:sz w:val="32"/>
          <w:szCs w:val="32"/>
          <w:rtl/>
        </w:rPr>
        <w:t xml:space="preserve">ريبا </w:t>
      </w:r>
      <w:r w:rsidRPr="002115F9">
        <w:rPr>
          <w:rFonts w:ascii="Traditional Arabic" w:hAnsi="Traditional Arabic" w:cs="Traditional Arabic" w:hint="cs"/>
          <w:sz w:val="24"/>
          <w:szCs w:val="24"/>
          <w:rtl/>
        </w:rPr>
        <w:t>77</w:t>
      </w:r>
      <w:r w:rsidRPr="002115F9">
        <w:rPr>
          <w:rFonts w:ascii="Traditional Arabic" w:hAnsi="Traditional Arabic" w:cs="Traditional Arabic"/>
          <w:sz w:val="32"/>
          <w:szCs w:val="32"/>
          <w:rtl/>
        </w:rPr>
        <w:t xml:space="preserve"> مليار دولار </w:t>
      </w:r>
      <w:r w:rsidRPr="002115F9">
        <w:rPr>
          <w:rFonts w:ascii="Traditional Arabic" w:hAnsi="Traditional Arabic" w:cs="Traditional Arabic" w:hint="cs"/>
          <w:sz w:val="32"/>
          <w:szCs w:val="32"/>
          <w:rtl/>
        </w:rPr>
        <w:t xml:space="preserve">( من الغاز والنفط </w:t>
      </w:r>
      <w:r w:rsidRPr="002115F9">
        <w:rPr>
          <w:rFonts w:ascii="Traditional Arabic" w:hAnsi="Traditional Arabic" w:cs="Traditional Arabic"/>
          <w:sz w:val="32"/>
          <w:szCs w:val="32"/>
          <w:rtl/>
        </w:rPr>
        <w:t>مع متوسط سعر</w:t>
      </w:r>
      <w:r w:rsidRPr="002115F9">
        <w:rPr>
          <w:rFonts w:ascii="Traditional Arabic" w:hAnsi="Traditional Arabic" w:cs="Traditional Arabic" w:hint="cs"/>
          <w:sz w:val="32"/>
          <w:szCs w:val="32"/>
          <w:rtl/>
        </w:rPr>
        <w:t xml:space="preserve"> البرميل</w:t>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24"/>
          <w:szCs w:val="24"/>
          <w:rtl/>
        </w:rPr>
        <w:t xml:space="preserve">110 </w:t>
      </w:r>
      <w:r w:rsidRPr="002115F9">
        <w:rPr>
          <w:rFonts w:ascii="Traditional Arabic" w:hAnsi="Traditional Arabic" w:cs="Traditional Arabic" w:hint="cs"/>
          <w:sz w:val="32"/>
          <w:szCs w:val="32"/>
          <w:rtl/>
        </w:rPr>
        <w:t xml:space="preserve">دولار) دفعت للخزينة </w:t>
      </w:r>
      <w:r w:rsidRPr="002115F9">
        <w:rPr>
          <w:rFonts w:ascii="Traditional Arabic" w:hAnsi="Traditional Arabic" w:cs="Traditional Arabic" w:hint="cs"/>
          <w:sz w:val="24"/>
          <w:szCs w:val="24"/>
          <w:rtl/>
        </w:rPr>
        <w:t xml:space="preserve">3700 </w:t>
      </w:r>
      <w:r w:rsidRPr="002115F9">
        <w:rPr>
          <w:rFonts w:ascii="Traditional Arabic" w:hAnsi="Traditional Arabic" w:cs="Traditional Arabic" w:hint="cs"/>
          <w:sz w:val="32"/>
          <w:szCs w:val="32"/>
          <w:rtl/>
        </w:rPr>
        <w:t xml:space="preserve">مليار دينار (ما يزيد عن </w:t>
      </w:r>
      <w:r w:rsidRPr="002115F9">
        <w:rPr>
          <w:rFonts w:ascii="Traditional Arabic" w:hAnsi="Traditional Arabic" w:cs="Traditional Arabic" w:hint="cs"/>
          <w:sz w:val="24"/>
          <w:szCs w:val="24"/>
          <w:rtl/>
        </w:rPr>
        <w:t xml:space="preserve">58 </w:t>
      </w:r>
      <w:r w:rsidRPr="002115F9">
        <w:rPr>
          <w:rFonts w:ascii="Traditional Arabic" w:hAnsi="Traditional Arabic" w:cs="Traditional Arabic" w:hint="cs"/>
          <w:sz w:val="32"/>
          <w:szCs w:val="32"/>
          <w:rtl/>
        </w:rPr>
        <w:t xml:space="preserve">مليار دولار، مع معدل </w:t>
      </w:r>
      <w:r w:rsidRPr="002115F9">
        <w:rPr>
          <w:rFonts w:ascii="Traditional Arabic" w:hAnsi="Traditional Arabic" w:cs="Traditional Arabic" w:hint="cs"/>
          <w:sz w:val="24"/>
          <w:szCs w:val="24"/>
          <w:rtl/>
        </w:rPr>
        <w:t xml:space="preserve">63 </w:t>
      </w:r>
      <w:r w:rsidRPr="002115F9">
        <w:rPr>
          <w:rFonts w:ascii="Traditional Arabic" w:hAnsi="Traditional Arabic" w:cs="Traditional Arabic" w:hint="cs"/>
          <w:sz w:val="32"/>
          <w:szCs w:val="32"/>
          <w:rtl/>
        </w:rPr>
        <w:t>دينار للدولار الواحد)</w:t>
      </w:r>
      <w:r w:rsidRPr="002115F9">
        <w:rPr>
          <w:rFonts w:ascii="Traditional Arabic" w:hAnsi="Traditional Arabic" w:cs="Traditional Arabic"/>
          <w:sz w:val="32"/>
          <w:szCs w:val="32"/>
          <w:rtl/>
        </w:rPr>
        <w:t>.</w:t>
      </w:r>
      <w:r w:rsidRPr="002115F9">
        <w:rPr>
          <w:rFonts w:ascii="Traditional Arabic" w:hAnsi="Traditional Arabic" w:cs="Traditional Arabic" w:hint="cs"/>
          <w:sz w:val="32"/>
          <w:szCs w:val="32"/>
          <w:rtl/>
        </w:rPr>
        <w:t xml:space="preserve"> </w:t>
      </w:r>
      <w:r w:rsidRPr="002115F9">
        <w:rPr>
          <w:rFonts w:ascii="Traditional Arabic" w:hAnsi="Traditional Arabic" w:cs="Traditional Arabic" w:hint="cs"/>
          <w:sz w:val="32"/>
          <w:szCs w:val="32"/>
          <w:rtl/>
          <w:lang w:bidi="ar-DZ"/>
        </w:rPr>
        <w:t xml:space="preserve">فإذا افترضنا أن سعر النفط كان </w:t>
      </w:r>
      <w:r>
        <w:rPr>
          <w:rFonts w:ascii="Traditional Arabic" w:hAnsi="Traditional Arabic" w:cs="Traditional Arabic" w:hint="cs"/>
          <w:sz w:val="32"/>
          <w:szCs w:val="32"/>
          <w:rtl/>
          <w:lang w:bidi="ar-DZ"/>
        </w:rPr>
        <w:t>يعادل</w:t>
      </w:r>
      <w:r w:rsidRPr="002115F9">
        <w:rPr>
          <w:rFonts w:ascii="Traditional Arabic" w:hAnsi="Traditional Arabic" w:cs="Traditional Arabic" w:hint="cs"/>
          <w:sz w:val="32"/>
          <w:szCs w:val="32"/>
          <w:rtl/>
          <w:lang w:bidi="ar-DZ"/>
        </w:rPr>
        <w:t xml:space="preserve"> </w:t>
      </w:r>
      <w:r w:rsidRPr="002115F9">
        <w:rPr>
          <w:rFonts w:ascii="Traditional Arabic" w:hAnsi="Traditional Arabic" w:cs="Traditional Arabic" w:hint="cs"/>
          <w:sz w:val="24"/>
          <w:szCs w:val="24"/>
          <w:rtl/>
          <w:lang w:bidi="ar-DZ"/>
        </w:rPr>
        <w:t xml:space="preserve">50 </w:t>
      </w:r>
      <w:r>
        <w:rPr>
          <w:rFonts w:ascii="Traditional Arabic" w:hAnsi="Traditional Arabic" w:cs="Traditional Arabic" w:hint="cs"/>
          <w:sz w:val="32"/>
          <w:szCs w:val="32"/>
          <w:rtl/>
          <w:lang w:bidi="ar-DZ"/>
        </w:rPr>
        <w:t>دولار</w:t>
      </w:r>
      <w:r w:rsidRPr="002115F9">
        <w:rPr>
          <w:rFonts w:ascii="Traditional Arabic" w:hAnsi="Traditional Arabic" w:cs="Traditional Arabic" w:hint="cs"/>
          <w:sz w:val="32"/>
          <w:szCs w:val="32"/>
          <w:rtl/>
          <w:lang w:bidi="ar-DZ"/>
        </w:rPr>
        <w:t xml:space="preserve">، فإن إيرادات الجزائر ستبلغ </w:t>
      </w:r>
      <w:r w:rsidRPr="002115F9">
        <w:rPr>
          <w:rFonts w:ascii="Traditional Arabic" w:hAnsi="Traditional Arabic" w:cs="Traditional Arabic" w:hint="cs"/>
          <w:sz w:val="24"/>
          <w:szCs w:val="24"/>
          <w:rtl/>
          <w:lang w:bidi="ar-DZ"/>
        </w:rPr>
        <w:t xml:space="preserve">35 </w:t>
      </w:r>
      <w:r w:rsidRPr="002115F9">
        <w:rPr>
          <w:rFonts w:ascii="Traditional Arabic" w:hAnsi="Traditional Arabic" w:cs="Traditional Arabic" w:hint="cs"/>
          <w:sz w:val="32"/>
          <w:szCs w:val="32"/>
          <w:rtl/>
          <w:lang w:bidi="ar-DZ"/>
        </w:rPr>
        <w:t xml:space="preserve">مليار دولار، وما يعود منه لخزينة الدولة لن يتجاوز </w:t>
      </w:r>
      <w:r w:rsidRPr="002115F9">
        <w:rPr>
          <w:rFonts w:ascii="Traditional Arabic" w:hAnsi="Traditional Arabic" w:cs="Traditional Arabic" w:hint="cs"/>
          <w:sz w:val="24"/>
          <w:szCs w:val="24"/>
          <w:rtl/>
          <w:lang w:bidi="ar-DZ"/>
        </w:rPr>
        <w:t xml:space="preserve">15 </w:t>
      </w:r>
      <w:r w:rsidRPr="002115F9">
        <w:rPr>
          <w:rFonts w:ascii="Traditional Arabic" w:hAnsi="Traditional Arabic" w:cs="Traditional Arabic" w:hint="cs"/>
          <w:sz w:val="32"/>
          <w:szCs w:val="32"/>
          <w:rtl/>
          <w:lang w:bidi="ar-DZ"/>
        </w:rPr>
        <w:t>مليار دولار</w:t>
      </w:r>
      <w:r w:rsidRPr="002115F9">
        <w:rPr>
          <w:rStyle w:val="Appelnotedebasdep"/>
          <w:rFonts w:ascii="Traditional Arabic" w:hAnsi="Traditional Arabic" w:cs="Traditional Arabic"/>
          <w:sz w:val="32"/>
          <w:szCs w:val="32"/>
          <w:rtl/>
          <w:lang w:bidi="ar-DZ"/>
        </w:rPr>
        <w:footnoteReference w:id="42"/>
      </w:r>
      <w:r w:rsidRPr="002115F9">
        <w:rPr>
          <w:rFonts w:ascii="Traditional Arabic" w:hAnsi="Traditional Arabic" w:cs="Traditional Arabic"/>
          <w:sz w:val="32"/>
          <w:szCs w:val="32"/>
          <w:rtl/>
        </w:rPr>
        <w:t xml:space="preserve">. </w:t>
      </w:r>
      <w:r w:rsidRPr="002115F9">
        <w:rPr>
          <w:rFonts w:ascii="Traditional Arabic" w:hAnsi="Traditional Arabic" w:cs="Traditional Arabic"/>
          <w:sz w:val="32"/>
          <w:szCs w:val="32"/>
        </w:rPr>
        <w:t xml:space="preserve"> </w:t>
      </w:r>
    </w:p>
    <w:p w:rsidR="00B35CF7" w:rsidRPr="002115F9" w:rsidRDefault="00B35CF7" w:rsidP="00B677C2">
      <w:pPr>
        <w:tabs>
          <w:tab w:val="right" w:pos="567"/>
        </w:tabs>
        <w:bidi/>
        <w:spacing w:after="0"/>
        <w:jc w:val="both"/>
        <w:rPr>
          <w:rFonts w:ascii="Traditional Arabic" w:eastAsia="Times New Roman" w:hAnsi="Traditional Arabic" w:cs="Traditional Arabic"/>
          <w:sz w:val="32"/>
          <w:szCs w:val="32"/>
          <w:rtl/>
        </w:rPr>
      </w:pPr>
      <w:r w:rsidRPr="002115F9">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2115F9">
        <w:rPr>
          <w:rFonts w:ascii="Traditional Arabic" w:hAnsi="Traditional Arabic" w:cs="Traditional Arabic"/>
          <w:sz w:val="32"/>
          <w:szCs w:val="32"/>
          <w:rtl/>
        </w:rPr>
        <w:t xml:space="preserve"> </w:t>
      </w:r>
      <w:r w:rsidRPr="002115F9">
        <w:rPr>
          <w:rFonts w:ascii="Traditional Arabic" w:hAnsi="Traditional Arabic" w:cs="Traditional Arabic" w:hint="cs"/>
          <w:sz w:val="32"/>
          <w:szCs w:val="32"/>
          <w:rtl/>
          <w:lang w:bidi="ar-DZ"/>
        </w:rPr>
        <w:t xml:space="preserve">إن انخفاض سعر النفط إلى ما دون </w:t>
      </w:r>
      <w:r w:rsidRPr="002115F9">
        <w:rPr>
          <w:rFonts w:ascii="Traditional Arabic" w:hAnsi="Traditional Arabic" w:cs="Traditional Arabic" w:hint="cs"/>
          <w:sz w:val="24"/>
          <w:szCs w:val="24"/>
          <w:rtl/>
          <w:lang w:bidi="ar-DZ"/>
        </w:rPr>
        <w:t xml:space="preserve">50 </w:t>
      </w:r>
      <w:r w:rsidRPr="002115F9">
        <w:rPr>
          <w:rFonts w:ascii="Traditional Arabic" w:hAnsi="Traditional Arabic" w:cs="Traditional Arabic" w:hint="cs"/>
          <w:sz w:val="32"/>
          <w:szCs w:val="32"/>
          <w:rtl/>
          <w:lang w:bidi="ar-DZ"/>
        </w:rPr>
        <w:t>دولارا سيجعل الجزائر تعيش وضعا ماليا صعبا، فهذه الإيرادات تك</w:t>
      </w:r>
      <w:r>
        <w:rPr>
          <w:rFonts w:ascii="Traditional Arabic" w:hAnsi="Traditional Arabic" w:cs="Traditional Arabic" w:hint="cs"/>
          <w:sz w:val="32"/>
          <w:szCs w:val="32"/>
          <w:rtl/>
          <w:lang w:bidi="ar-DZ"/>
        </w:rPr>
        <w:t>اد لا تكفي لتغطية نفقات الخزينة،</w:t>
      </w:r>
      <w:r w:rsidRPr="002115F9">
        <w:rPr>
          <w:rFonts w:ascii="Traditional Arabic" w:hAnsi="Traditional Arabic" w:cs="Traditional Arabic" w:hint="cs"/>
          <w:sz w:val="32"/>
          <w:szCs w:val="32"/>
          <w:rtl/>
          <w:lang w:bidi="ar-DZ"/>
        </w:rPr>
        <w:t xml:space="preserve"> ف</w:t>
      </w:r>
      <w:r w:rsidRPr="002115F9">
        <w:rPr>
          <w:rFonts w:ascii="Traditional Arabic" w:hAnsi="Traditional Arabic" w:cs="Traditional Arabic"/>
          <w:sz w:val="32"/>
          <w:szCs w:val="32"/>
          <w:rtl/>
        </w:rPr>
        <w:t xml:space="preserve">الواردات في عام </w:t>
      </w:r>
      <w:r w:rsidRPr="002115F9">
        <w:rPr>
          <w:rFonts w:ascii="Traditional Arabic" w:hAnsi="Traditional Arabic" w:cs="Traditional Arabic"/>
          <w:sz w:val="24"/>
          <w:szCs w:val="24"/>
          <w:rtl/>
        </w:rPr>
        <w:t xml:space="preserve">2008 </w:t>
      </w:r>
      <w:r w:rsidRPr="002115F9">
        <w:rPr>
          <w:rFonts w:ascii="Traditional Arabic" w:hAnsi="Traditional Arabic" w:cs="Traditional Arabic"/>
          <w:sz w:val="32"/>
          <w:szCs w:val="32"/>
          <w:rtl/>
        </w:rPr>
        <w:t xml:space="preserve">كانت </w:t>
      </w:r>
      <w:r w:rsidRPr="002115F9">
        <w:rPr>
          <w:rFonts w:ascii="Traditional Arabic" w:hAnsi="Traditional Arabic" w:cs="Traditional Arabic"/>
          <w:sz w:val="24"/>
          <w:szCs w:val="24"/>
          <w:rtl/>
        </w:rPr>
        <w:t xml:space="preserve">40 </w:t>
      </w:r>
      <w:r w:rsidRPr="002115F9">
        <w:rPr>
          <w:rFonts w:ascii="Traditional Arabic" w:hAnsi="Traditional Arabic" w:cs="Traditional Arabic"/>
          <w:sz w:val="32"/>
          <w:szCs w:val="32"/>
          <w:rtl/>
        </w:rPr>
        <w:t>مليار دولار</w:t>
      </w:r>
      <w:r w:rsidRPr="002115F9">
        <w:rPr>
          <w:rFonts w:ascii="Traditional Arabic" w:hAnsi="Traditional Arabic" w:cs="Traditional Arabic" w:hint="cs"/>
          <w:sz w:val="32"/>
          <w:szCs w:val="32"/>
          <w:rtl/>
        </w:rPr>
        <w:t xml:space="preserve">، </w:t>
      </w:r>
      <w:r w:rsidRPr="002115F9">
        <w:rPr>
          <w:rFonts w:ascii="Traditional Arabic" w:hAnsi="Traditional Arabic" w:cs="Traditional Arabic"/>
          <w:sz w:val="32"/>
          <w:szCs w:val="32"/>
          <w:rtl/>
        </w:rPr>
        <w:t xml:space="preserve">بالإضافة إلى حوالي </w:t>
      </w:r>
      <w:r w:rsidRPr="002115F9">
        <w:rPr>
          <w:rFonts w:ascii="Traditional Arabic" w:hAnsi="Traditional Arabic" w:cs="Traditional Arabic"/>
          <w:sz w:val="24"/>
          <w:szCs w:val="24"/>
          <w:rtl/>
        </w:rPr>
        <w:t xml:space="preserve">10 </w:t>
      </w:r>
      <w:r w:rsidRPr="002115F9">
        <w:rPr>
          <w:rFonts w:ascii="Traditional Arabic" w:hAnsi="Traditional Arabic" w:cs="Traditional Arabic"/>
          <w:sz w:val="32"/>
          <w:szCs w:val="32"/>
          <w:rtl/>
        </w:rPr>
        <w:t>مليار</w:t>
      </w:r>
      <w:r w:rsidRPr="002115F9">
        <w:rPr>
          <w:rFonts w:ascii="Traditional Arabic" w:hAnsi="Traditional Arabic" w:cs="Traditional Arabic" w:hint="cs"/>
          <w:sz w:val="32"/>
          <w:szCs w:val="32"/>
          <w:rtl/>
        </w:rPr>
        <w:t>ات دولار</w:t>
      </w:r>
      <w:r w:rsidRPr="002115F9">
        <w:rPr>
          <w:rFonts w:ascii="Traditional Arabic" w:hAnsi="Traditional Arabic" w:cs="Traditional Arabic"/>
          <w:sz w:val="32"/>
          <w:szCs w:val="32"/>
          <w:rtl/>
        </w:rPr>
        <w:t xml:space="preserve"> تحويلات</w:t>
      </w:r>
      <w:r w:rsidRPr="002115F9">
        <w:rPr>
          <w:rFonts w:ascii="Traditional Arabic" w:hAnsi="Traditional Arabic" w:cs="Traditional Arabic" w:hint="cs"/>
          <w:sz w:val="32"/>
          <w:szCs w:val="32"/>
          <w:rtl/>
        </w:rPr>
        <w:t xml:space="preserve"> نقدية للأرباح</w:t>
      </w:r>
      <w:r w:rsidRPr="002115F9">
        <w:rPr>
          <w:rFonts w:ascii="Traditional Arabic" w:hAnsi="Traditional Arabic" w:cs="Traditional Arabic"/>
          <w:sz w:val="32"/>
          <w:szCs w:val="32"/>
          <w:rtl/>
        </w:rPr>
        <w:t xml:space="preserve"> </w:t>
      </w:r>
      <w:r w:rsidRPr="002115F9">
        <w:rPr>
          <w:rFonts w:ascii="Traditional Arabic" w:hAnsi="Traditional Arabic" w:cs="Traditional Arabic" w:hint="cs"/>
          <w:sz w:val="32"/>
          <w:szCs w:val="32"/>
          <w:rtl/>
        </w:rPr>
        <w:t>ال</w:t>
      </w:r>
      <w:r w:rsidRPr="002115F9">
        <w:rPr>
          <w:rFonts w:ascii="Traditional Arabic" w:hAnsi="Traditional Arabic" w:cs="Traditional Arabic"/>
          <w:sz w:val="32"/>
          <w:szCs w:val="32"/>
          <w:rtl/>
        </w:rPr>
        <w:t>متعلقة بالخدمات</w:t>
      </w:r>
      <w:r w:rsidRPr="002115F9">
        <w:rPr>
          <w:rFonts w:ascii="Traditional Arabic" w:hAnsi="Traditional Arabic" w:cs="Traditional Arabic" w:hint="cs"/>
          <w:sz w:val="32"/>
          <w:szCs w:val="32"/>
          <w:rtl/>
        </w:rPr>
        <w:t xml:space="preserve"> المرتبطة</w:t>
      </w:r>
      <w:r w:rsidRPr="002115F9">
        <w:rPr>
          <w:rFonts w:ascii="Traditional Arabic" w:hAnsi="Traditional Arabic" w:cs="Traditional Arabic"/>
          <w:sz w:val="32"/>
          <w:szCs w:val="32"/>
          <w:rtl/>
        </w:rPr>
        <w:t xml:space="preserve"> بشركاء سوناطراك</w:t>
      </w:r>
      <w:r w:rsidRPr="002115F9">
        <w:rPr>
          <w:rFonts w:ascii="Traditional Arabic" w:hAnsi="Traditional Arabic" w:cs="Traditional Arabic" w:hint="cs"/>
          <w:sz w:val="32"/>
          <w:szCs w:val="32"/>
          <w:rtl/>
        </w:rPr>
        <w:t>، فهي</w:t>
      </w:r>
      <w:r w:rsidRPr="002115F9">
        <w:rPr>
          <w:rFonts w:ascii="Traditional Arabic" w:hAnsi="Traditional Arabic" w:cs="Traditional Arabic"/>
          <w:sz w:val="32"/>
          <w:szCs w:val="32"/>
          <w:rtl/>
        </w:rPr>
        <w:t xml:space="preserve"> حوالي </w:t>
      </w:r>
      <w:r w:rsidRPr="002115F9">
        <w:rPr>
          <w:rFonts w:ascii="Traditional Arabic" w:hAnsi="Traditional Arabic" w:cs="Traditional Arabic"/>
          <w:sz w:val="24"/>
          <w:szCs w:val="24"/>
          <w:rtl/>
        </w:rPr>
        <w:t xml:space="preserve">50 </w:t>
      </w:r>
      <w:r w:rsidRPr="002115F9">
        <w:rPr>
          <w:rFonts w:ascii="Traditional Arabic" w:hAnsi="Traditional Arabic" w:cs="Traditional Arabic"/>
          <w:sz w:val="32"/>
          <w:szCs w:val="32"/>
          <w:rtl/>
        </w:rPr>
        <w:t>مليار دولار</w:t>
      </w:r>
      <w:r w:rsidRPr="002115F9">
        <w:rPr>
          <w:rStyle w:val="Appelnotedebasdep"/>
          <w:rFonts w:ascii="Traditional Arabic" w:hAnsi="Traditional Arabic" w:cs="Traditional Arabic"/>
          <w:sz w:val="32"/>
          <w:szCs w:val="32"/>
          <w:rtl/>
        </w:rPr>
        <w:footnoteReference w:id="43"/>
      </w:r>
      <w:r>
        <w:rPr>
          <w:rFonts w:ascii="Traditional Arabic" w:hAnsi="Traditional Arabic" w:cs="Traditional Arabic" w:hint="cs"/>
          <w:sz w:val="32"/>
          <w:szCs w:val="32"/>
          <w:rtl/>
        </w:rPr>
        <w:t>،</w:t>
      </w:r>
      <w:r w:rsidRPr="002115F9">
        <w:rPr>
          <w:rFonts w:ascii="Traditional Arabic" w:hAnsi="Traditional Arabic" w:cs="Traditional Arabic"/>
          <w:sz w:val="32"/>
          <w:szCs w:val="32"/>
          <w:rtl/>
        </w:rPr>
        <w:t xml:space="preserve"> </w:t>
      </w:r>
      <w:r w:rsidRPr="002115F9">
        <w:rPr>
          <w:rFonts w:ascii="Traditional Arabic" w:hAnsi="Traditional Arabic" w:cs="Traditional Arabic" w:hint="cs"/>
          <w:sz w:val="32"/>
          <w:szCs w:val="32"/>
          <w:rtl/>
        </w:rPr>
        <w:t xml:space="preserve">زيادة على ذلك انخفاض </w:t>
      </w:r>
      <w:r w:rsidRPr="002115F9">
        <w:rPr>
          <w:rFonts w:ascii="Traditional Arabic" w:eastAsia="Times New Roman" w:hAnsi="Traditional Arabic" w:cs="Traditional Arabic"/>
          <w:sz w:val="32"/>
          <w:szCs w:val="32"/>
          <w:rtl/>
        </w:rPr>
        <w:t>الإنتاج المعد للتصدير من الحصة المتاحة</w:t>
      </w:r>
      <w:r w:rsidRPr="002115F9">
        <w:rPr>
          <w:rFonts w:ascii="Traditional Arabic" w:eastAsia="Times New Roman" w:hAnsi="Traditional Arabic" w:cs="Traditional Arabic" w:hint="cs"/>
          <w:sz w:val="32"/>
          <w:szCs w:val="32"/>
          <w:rtl/>
        </w:rPr>
        <w:t>، فهي كلها أسباب</w:t>
      </w:r>
      <w:r w:rsidRPr="002115F9">
        <w:rPr>
          <w:rFonts w:ascii="Traditional Arabic" w:eastAsia="Times New Roman" w:hAnsi="Traditional Arabic" w:cs="Traditional Arabic"/>
          <w:sz w:val="32"/>
          <w:szCs w:val="32"/>
          <w:rtl/>
        </w:rPr>
        <w:t xml:space="preserve"> تؤدي إلى تباطؤ النمو الاقتصادي</w:t>
      </w:r>
      <w:r w:rsidRPr="002115F9">
        <w:rPr>
          <w:rFonts w:ascii="Traditional Arabic" w:eastAsia="Times New Roman" w:hAnsi="Traditional Arabic" w:cs="Traditional Arabic" w:hint="cs"/>
          <w:sz w:val="32"/>
          <w:szCs w:val="32"/>
          <w:rtl/>
        </w:rPr>
        <w:t xml:space="preserve">، </w:t>
      </w:r>
      <w:r>
        <w:rPr>
          <w:rFonts w:ascii="Traditional Arabic" w:eastAsia="Times New Roman" w:hAnsi="Traditional Arabic" w:cs="Traditional Arabic" w:hint="cs"/>
          <w:sz w:val="32"/>
          <w:szCs w:val="32"/>
          <w:rtl/>
        </w:rPr>
        <w:t xml:space="preserve">وعليه </w:t>
      </w:r>
      <w:r w:rsidRPr="002115F9">
        <w:rPr>
          <w:rFonts w:ascii="Traditional Arabic" w:hAnsi="Traditional Arabic" w:cs="Traditional Arabic" w:hint="cs"/>
          <w:sz w:val="32"/>
          <w:szCs w:val="32"/>
          <w:rtl/>
          <w:lang w:bidi="ar-DZ"/>
        </w:rPr>
        <w:t>فإن الجزائر س</w:t>
      </w:r>
      <w:r>
        <w:rPr>
          <w:rFonts w:ascii="Traditional Arabic" w:hAnsi="Traditional Arabic" w:cs="Traditional Arabic" w:hint="cs"/>
          <w:sz w:val="32"/>
          <w:szCs w:val="32"/>
          <w:rtl/>
          <w:lang w:bidi="ar-DZ"/>
        </w:rPr>
        <w:t>تلجأ</w:t>
      </w:r>
      <w:r w:rsidRPr="002115F9">
        <w:rPr>
          <w:rFonts w:ascii="Traditional Arabic" w:hAnsi="Traditional Arabic" w:cs="Traditional Arabic" w:hint="cs"/>
          <w:sz w:val="32"/>
          <w:szCs w:val="32"/>
          <w:rtl/>
          <w:lang w:bidi="ar-DZ"/>
        </w:rPr>
        <w:t xml:space="preserve"> إلى الاعتماد على احتياطاتها</w:t>
      </w:r>
      <w:r>
        <w:rPr>
          <w:rFonts w:ascii="Traditional Arabic" w:hAnsi="Traditional Arabic" w:cs="Traditional Arabic" w:hint="cs"/>
          <w:sz w:val="32"/>
          <w:szCs w:val="32"/>
          <w:rtl/>
          <w:lang w:bidi="ar-DZ"/>
        </w:rPr>
        <w:t xml:space="preserve"> من العملات الصعبة، ومن تم ستضطر </w:t>
      </w:r>
      <w:r w:rsidRPr="002115F9">
        <w:rPr>
          <w:rFonts w:ascii="Traditional Arabic" w:hAnsi="Traditional Arabic" w:cs="Traditional Arabic" w:hint="cs"/>
          <w:sz w:val="32"/>
          <w:szCs w:val="32"/>
          <w:rtl/>
          <w:lang w:bidi="ar-DZ"/>
        </w:rPr>
        <w:t>السلطات العمومية</w:t>
      </w:r>
      <w:r>
        <w:rPr>
          <w:rFonts w:ascii="Traditional Arabic" w:hAnsi="Traditional Arabic" w:cs="Traditional Arabic" w:hint="cs"/>
          <w:sz w:val="32"/>
          <w:szCs w:val="32"/>
          <w:rtl/>
          <w:lang w:bidi="ar-DZ"/>
        </w:rPr>
        <w:t xml:space="preserve"> إلى تقليص</w:t>
      </w:r>
      <w:r w:rsidRPr="002115F9">
        <w:rPr>
          <w:rFonts w:ascii="Traditional Arabic" w:hAnsi="Traditional Arabic" w:cs="Traditional Arabic" w:hint="cs"/>
          <w:sz w:val="32"/>
          <w:szCs w:val="32"/>
          <w:rtl/>
          <w:lang w:bidi="ar-DZ"/>
        </w:rPr>
        <w:t xml:space="preserve"> النفقات العمومية</w:t>
      </w:r>
      <w:r>
        <w:rPr>
          <w:rFonts w:ascii="Traditional Arabic" w:hAnsi="Traditional Arabic" w:cs="Traditional Arabic" w:hint="cs"/>
          <w:sz w:val="32"/>
          <w:szCs w:val="32"/>
          <w:rtl/>
          <w:lang w:bidi="ar-DZ"/>
        </w:rPr>
        <w:t>،</w:t>
      </w:r>
      <w:r w:rsidRPr="002115F9">
        <w:rPr>
          <w:rFonts w:ascii="Traditional Arabic" w:hAnsi="Traditional Arabic" w:cs="Traditional Arabic" w:hint="cs"/>
          <w:sz w:val="32"/>
          <w:szCs w:val="32"/>
          <w:rtl/>
          <w:lang w:bidi="ar-DZ"/>
        </w:rPr>
        <w:t xml:space="preserve"> مما </w:t>
      </w:r>
      <w:r>
        <w:rPr>
          <w:rFonts w:ascii="Traditional Arabic" w:hAnsi="Traditional Arabic" w:cs="Traditional Arabic" w:hint="cs"/>
          <w:sz w:val="32"/>
          <w:szCs w:val="32"/>
          <w:rtl/>
          <w:lang w:bidi="ar-DZ"/>
        </w:rPr>
        <w:t>س</w:t>
      </w:r>
      <w:r w:rsidRPr="002115F9">
        <w:rPr>
          <w:rFonts w:ascii="Traditional Arabic" w:hAnsi="Traditional Arabic" w:cs="Traditional Arabic" w:hint="cs"/>
          <w:sz w:val="32"/>
          <w:szCs w:val="32"/>
          <w:rtl/>
          <w:lang w:bidi="ar-DZ"/>
        </w:rPr>
        <w:t>ينعكس سلبا على الوضع الاجتماعي</w:t>
      </w:r>
      <w:r w:rsidRPr="002115F9">
        <w:rPr>
          <w:rStyle w:val="Appelnotedebasdep"/>
          <w:rFonts w:ascii="Traditional Arabic" w:hAnsi="Traditional Arabic" w:cs="Traditional Arabic"/>
          <w:sz w:val="32"/>
          <w:szCs w:val="32"/>
          <w:rtl/>
        </w:rPr>
        <w:footnoteReference w:id="44"/>
      </w:r>
      <w:r w:rsidRPr="002115F9">
        <w:rPr>
          <w:rFonts w:ascii="Traditional Arabic" w:hAnsi="Traditional Arabic" w:cs="Traditional Arabic" w:hint="cs"/>
          <w:sz w:val="32"/>
          <w:szCs w:val="32"/>
          <w:rtl/>
          <w:lang w:bidi="ar-DZ"/>
        </w:rPr>
        <w:t xml:space="preserve">.    </w:t>
      </w:r>
      <w:r w:rsidRPr="002115F9">
        <w:rPr>
          <w:rFonts w:ascii="Traditional Arabic" w:eastAsia="Times New Roman" w:hAnsi="Traditional Arabic" w:cs="Traditional Arabic" w:hint="cs"/>
          <w:sz w:val="32"/>
          <w:szCs w:val="32"/>
          <w:rtl/>
        </w:rPr>
        <w:t xml:space="preserve"> </w:t>
      </w:r>
    </w:p>
    <w:p w:rsidR="00B35CF7" w:rsidRDefault="00B35CF7" w:rsidP="008B61EA">
      <w:pPr>
        <w:tabs>
          <w:tab w:val="right" w:pos="567"/>
        </w:tabs>
        <w:bidi/>
        <w:jc w:val="both"/>
        <w:rPr>
          <w:rFonts w:ascii="Traditional Arabic" w:hAnsi="Traditional Arabic" w:cs="Traditional Arabic"/>
          <w:sz w:val="32"/>
          <w:szCs w:val="32"/>
          <w:rtl/>
        </w:rPr>
      </w:pPr>
      <w:r w:rsidRPr="002115F9">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2115F9">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sidRPr="002115F9">
        <w:rPr>
          <w:rFonts w:ascii="Traditional Arabic" w:hAnsi="Traditional Arabic" w:cs="Traditional Arabic"/>
          <w:sz w:val="32"/>
          <w:szCs w:val="32"/>
          <w:rtl/>
        </w:rPr>
        <w:t>لمواجهة تدهور أسعار النفط تعمل منظمة الأوبك على إعادة النظر في مستويا</w:t>
      </w:r>
      <w:r>
        <w:rPr>
          <w:rFonts w:ascii="Traditional Arabic" w:hAnsi="Traditional Arabic" w:cs="Traditional Arabic"/>
          <w:sz w:val="32"/>
          <w:szCs w:val="32"/>
          <w:rtl/>
        </w:rPr>
        <w:t>ت الإنتاج.</w:t>
      </w:r>
      <w:r>
        <w:rPr>
          <w:rFonts w:ascii="Traditional Arabic" w:hAnsi="Traditional Arabic" w:cs="Traditional Arabic" w:hint="cs"/>
          <w:sz w:val="32"/>
          <w:szCs w:val="32"/>
          <w:rtl/>
        </w:rPr>
        <w:t xml:space="preserve"> كما</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أ</w:t>
      </w:r>
      <w:r w:rsidRPr="002115F9">
        <w:rPr>
          <w:rFonts w:ascii="Traditional Arabic" w:hAnsi="Traditional Arabic" w:cs="Traditional Arabic"/>
          <w:sz w:val="32"/>
          <w:szCs w:val="32"/>
          <w:rtl/>
        </w:rPr>
        <w:t xml:space="preserve">نه من غير المنتظر أن ترتفع أسعار النفط إلى مستويات عالية جدا، إذ تشير </w:t>
      </w:r>
      <w:r w:rsidR="00175280">
        <w:rPr>
          <w:rFonts w:ascii="Traditional Arabic" w:hAnsi="Traditional Arabic" w:cs="Traditional Arabic" w:hint="cs"/>
          <w:sz w:val="32"/>
          <w:szCs w:val="32"/>
          <w:rtl/>
          <w:lang w:bidi="ar-DZ"/>
        </w:rPr>
        <w:t>تصريحات</w:t>
      </w:r>
      <w:r w:rsidR="00175280" w:rsidRPr="00175280">
        <w:rPr>
          <w:rFonts w:ascii="Traditional Arabic" w:hAnsi="Traditional Arabic" w:cs="Traditional Arabic" w:hint="cs"/>
          <w:sz w:val="32"/>
          <w:szCs w:val="32"/>
          <w:rtl/>
          <w:lang w:bidi="ar-DZ"/>
        </w:rPr>
        <w:t xml:space="preserve"> كبار المسؤولين في</w:t>
      </w:r>
      <w:r w:rsidR="007745FE">
        <w:rPr>
          <w:rFonts w:ascii="Traditional Arabic" w:hAnsi="Traditional Arabic" w:cs="Traditional Arabic" w:hint="cs"/>
          <w:sz w:val="32"/>
          <w:szCs w:val="32"/>
          <w:rtl/>
          <w:lang w:bidi="ar-DZ"/>
        </w:rPr>
        <w:t xml:space="preserve"> هذه</w:t>
      </w:r>
      <w:r w:rsidR="00175280" w:rsidRPr="00175280">
        <w:rPr>
          <w:rFonts w:ascii="Traditional Arabic" w:hAnsi="Traditional Arabic" w:cs="Traditional Arabic" w:hint="cs"/>
          <w:sz w:val="32"/>
          <w:szCs w:val="32"/>
          <w:rtl/>
          <w:lang w:bidi="ar-DZ"/>
        </w:rPr>
        <w:t xml:space="preserve"> </w:t>
      </w:r>
      <w:r w:rsidR="007745FE">
        <w:rPr>
          <w:rFonts w:ascii="Traditional Arabic" w:hAnsi="Traditional Arabic" w:cs="Traditional Arabic" w:hint="cs"/>
          <w:sz w:val="32"/>
          <w:szCs w:val="32"/>
          <w:rtl/>
          <w:lang w:bidi="ar-DZ"/>
        </w:rPr>
        <w:t>ال</w:t>
      </w:r>
      <w:r w:rsidR="00175280" w:rsidRPr="00175280">
        <w:rPr>
          <w:rFonts w:ascii="Traditional Arabic" w:hAnsi="Traditional Arabic" w:cs="Traditional Arabic" w:hint="cs"/>
          <w:sz w:val="32"/>
          <w:szCs w:val="32"/>
          <w:rtl/>
          <w:lang w:bidi="ar-DZ"/>
        </w:rPr>
        <w:t xml:space="preserve">منظمة </w:t>
      </w:r>
      <w:r w:rsidRPr="002115F9">
        <w:rPr>
          <w:rFonts w:ascii="Traditional Arabic" w:hAnsi="Traditional Arabic" w:cs="Traditional Arabic"/>
          <w:sz w:val="32"/>
          <w:szCs w:val="32"/>
          <w:rtl/>
        </w:rPr>
        <w:lastRenderedPageBreak/>
        <w:t xml:space="preserve">إلى أن </w:t>
      </w:r>
      <w:r w:rsidR="00952C2B">
        <w:rPr>
          <w:rFonts w:ascii="Traditional Arabic" w:hAnsi="Traditional Arabic" w:cs="Traditional Arabic" w:hint="cs"/>
          <w:sz w:val="32"/>
          <w:szCs w:val="32"/>
          <w:rtl/>
        </w:rPr>
        <w:t xml:space="preserve">نطاق </w:t>
      </w:r>
      <w:r w:rsidRPr="002115F9">
        <w:rPr>
          <w:rFonts w:ascii="Traditional Arabic" w:hAnsi="Traditional Arabic" w:cs="Traditional Arabic"/>
          <w:sz w:val="32"/>
          <w:szCs w:val="32"/>
          <w:rtl/>
        </w:rPr>
        <w:t xml:space="preserve">سعر النفط </w:t>
      </w:r>
      <w:r w:rsidR="00952C2B">
        <w:rPr>
          <w:rFonts w:ascii="Traditional Arabic" w:hAnsi="Traditional Arabic" w:cs="Traditional Arabic" w:hint="cs"/>
          <w:sz w:val="32"/>
          <w:szCs w:val="32"/>
          <w:rtl/>
        </w:rPr>
        <w:t>المقبول</w:t>
      </w:r>
      <w:r w:rsidRPr="002115F9">
        <w:rPr>
          <w:rFonts w:ascii="Traditional Arabic" w:hAnsi="Traditional Arabic" w:cs="Traditional Arabic"/>
          <w:sz w:val="32"/>
          <w:szCs w:val="32"/>
          <w:rtl/>
        </w:rPr>
        <w:t xml:space="preserve"> يتراوح </w:t>
      </w:r>
      <w:r>
        <w:rPr>
          <w:rFonts w:ascii="Traditional Arabic" w:hAnsi="Traditional Arabic" w:cs="Traditional Arabic" w:hint="cs"/>
          <w:sz w:val="32"/>
          <w:szCs w:val="32"/>
          <w:rtl/>
        </w:rPr>
        <w:t xml:space="preserve">ما </w:t>
      </w:r>
      <w:r w:rsidRPr="002115F9">
        <w:rPr>
          <w:rFonts w:ascii="Traditional Arabic" w:hAnsi="Traditional Arabic" w:cs="Traditional Arabic"/>
          <w:sz w:val="32"/>
          <w:szCs w:val="32"/>
          <w:rtl/>
        </w:rPr>
        <w:t xml:space="preserve">بين </w:t>
      </w:r>
      <w:r w:rsidR="000A6745">
        <w:rPr>
          <w:rFonts w:ascii="Traditional Arabic" w:hAnsi="Traditional Arabic" w:cs="Traditional Arabic" w:hint="cs"/>
          <w:sz w:val="24"/>
          <w:szCs w:val="24"/>
          <w:rtl/>
        </w:rPr>
        <w:t>70</w:t>
      </w:r>
      <w:r w:rsidRPr="002115F9">
        <w:rPr>
          <w:rFonts w:ascii="Traditional Arabic" w:hAnsi="Traditional Arabic" w:cs="Traditional Arabic"/>
          <w:sz w:val="32"/>
          <w:szCs w:val="32"/>
          <w:rtl/>
        </w:rPr>
        <w:t xml:space="preserve"> و</w:t>
      </w:r>
      <w:r w:rsidR="000A6745">
        <w:rPr>
          <w:rFonts w:ascii="Traditional Arabic" w:hAnsi="Traditional Arabic" w:cs="Traditional Arabic" w:hint="cs"/>
          <w:sz w:val="24"/>
          <w:szCs w:val="24"/>
          <w:rtl/>
        </w:rPr>
        <w:t>80</w:t>
      </w:r>
      <w:r w:rsidRPr="002115F9">
        <w:rPr>
          <w:rFonts w:ascii="Traditional Arabic" w:hAnsi="Traditional Arabic" w:cs="Traditional Arabic"/>
          <w:sz w:val="32"/>
          <w:szCs w:val="32"/>
          <w:rtl/>
        </w:rPr>
        <w:t xml:space="preserve"> دولار أمريكي</w:t>
      </w:r>
      <w:r w:rsidR="000A6745">
        <w:rPr>
          <w:rFonts w:ascii="Traditional Arabic" w:hAnsi="Traditional Arabic" w:cs="Traditional Arabic" w:hint="cs"/>
          <w:sz w:val="32"/>
          <w:szCs w:val="32"/>
          <w:rtl/>
        </w:rPr>
        <w:t xml:space="preserve"> للبرميل</w:t>
      </w:r>
      <w:r w:rsidR="00175280">
        <w:rPr>
          <w:rStyle w:val="Appelnotedebasdep"/>
          <w:rFonts w:ascii="Traditional Arabic" w:hAnsi="Traditional Arabic" w:cs="Traditional Arabic"/>
          <w:sz w:val="32"/>
          <w:szCs w:val="32"/>
          <w:rtl/>
        </w:rPr>
        <w:footnoteReference w:id="45"/>
      </w:r>
      <w:r w:rsidRPr="002115F9">
        <w:rPr>
          <w:rFonts w:ascii="Traditional Arabic" w:hAnsi="Traditional Arabic" w:cs="Traditional Arabic"/>
          <w:sz w:val="32"/>
          <w:szCs w:val="32"/>
          <w:rtl/>
        </w:rPr>
        <w:t xml:space="preserve">. هذا الوضع يستوجب على الجزائر التهيئة لعصر ما بعد النفط. </w:t>
      </w:r>
      <w:r w:rsidRPr="002115F9">
        <w:rPr>
          <w:rFonts w:ascii="Traditional Arabic" w:hAnsi="Traditional Arabic" w:cs="Traditional Arabic" w:hint="cs"/>
          <w:sz w:val="32"/>
          <w:szCs w:val="32"/>
          <w:rtl/>
        </w:rPr>
        <w:t xml:space="preserve"> </w:t>
      </w:r>
    </w:p>
    <w:p w:rsidR="00B35CF7" w:rsidRPr="002115F9" w:rsidRDefault="00B35CF7" w:rsidP="00B35CF7">
      <w:pPr>
        <w:bidi/>
        <w:spacing w:after="0"/>
        <w:rPr>
          <w:rFonts w:ascii="Traditional Arabic" w:hAnsi="Traditional Arabic" w:cs="Traditional Arabic"/>
          <w:b/>
          <w:bCs/>
          <w:sz w:val="32"/>
          <w:szCs w:val="32"/>
          <w:rtl/>
          <w:lang w:bidi="ar-DZ"/>
        </w:rPr>
      </w:pPr>
      <w:r w:rsidRPr="002115F9">
        <w:rPr>
          <w:rFonts w:ascii="Traditional Arabic" w:hAnsi="Traditional Arabic" w:cs="Traditional Arabic" w:hint="cs"/>
          <w:b/>
          <w:bCs/>
          <w:sz w:val="24"/>
          <w:szCs w:val="24"/>
          <w:rtl/>
          <w:lang w:bidi="ar-DZ"/>
        </w:rPr>
        <w:t xml:space="preserve">2- </w:t>
      </w:r>
      <w:r w:rsidRPr="002115F9">
        <w:rPr>
          <w:rFonts w:ascii="Traditional Arabic" w:hAnsi="Traditional Arabic" w:cs="Traditional Arabic"/>
          <w:b/>
          <w:bCs/>
          <w:sz w:val="32"/>
          <w:szCs w:val="32"/>
          <w:rtl/>
          <w:lang w:bidi="ar-DZ"/>
        </w:rPr>
        <w:t xml:space="preserve">انخفاض أسعار المنتجات المستوردة وتزايد فاتورة الواردات الجزائرية: </w:t>
      </w:r>
      <w:r w:rsidR="00453CB1">
        <w:rPr>
          <w:rFonts w:ascii="Traditional Arabic" w:hAnsi="Traditional Arabic" w:cs="Traditional Arabic" w:hint="cs"/>
          <w:b/>
          <w:bCs/>
          <w:sz w:val="32"/>
          <w:szCs w:val="32"/>
          <w:rtl/>
          <w:lang w:bidi="ar-DZ"/>
        </w:rPr>
        <w:t xml:space="preserve">  </w:t>
      </w:r>
    </w:p>
    <w:p w:rsidR="00B35CF7" w:rsidRPr="002115F9" w:rsidRDefault="00B35CF7" w:rsidP="001E3533">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2115F9">
        <w:rPr>
          <w:rFonts w:ascii="Traditional Arabic" w:hAnsi="Traditional Arabic" w:cs="Traditional Arabic" w:hint="cs"/>
          <w:sz w:val="32"/>
          <w:szCs w:val="32"/>
          <w:rtl/>
          <w:lang w:bidi="ar-DZ"/>
        </w:rPr>
        <w:t xml:space="preserve"> إن الأزمة المالية العالمية بتحولها إلى حالة ركود أدت إلى انخفاض أسعار العديد من المنتجات (القمح، السكر، الحديد، الحليب....)</w:t>
      </w:r>
      <w:r w:rsidRPr="002115F9">
        <w:rPr>
          <w:rFonts w:ascii="Traditional Arabic" w:hAnsi="Traditional Arabic" w:cs="Traditional Arabic"/>
          <w:sz w:val="32"/>
          <w:szCs w:val="32"/>
          <w:rtl/>
          <w:lang w:bidi="ar-DZ"/>
        </w:rPr>
        <w:t xml:space="preserve"> </w:t>
      </w:r>
      <w:r w:rsidRPr="002115F9">
        <w:rPr>
          <w:rFonts w:ascii="Traditional Arabic" w:hAnsi="Traditional Arabic" w:cs="Traditional Arabic" w:hint="cs"/>
          <w:sz w:val="32"/>
          <w:szCs w:val="32"/>
          <w:rtl/>
          <w:lang w:bidi="ar-DZ"/>
        </w:rPr>
        <w:t xml:space="preserve">مما </w:t>
      </w:r>
      <w:r w:rsidRPr="002115F9">
        <w:rPr>
          <w:rFonts w:ascii="Traditional Arabic" w:hAnsi="Traditional Arabic" w:cs="Traditional Arabic"/>
          <w:sz w:val="32"/>
          <w:szCs w:val="32"/>
          <w:rtl/>
          <w:lang w:bidi="ar-DZ"/>
        </w:rPr>
        <w:t>تزايد</w:t>
      </w:r>
      <w:r w:rsidRPr="002115F9">
        <w:rPr>
          <w:rFonts w:ascii="Traditional Arabic" w:hAnsi="Traditional Arabic" w:cs="Traditional Arabic" w:hint="cs"/>
          <w:sz w:val="32"/>
          <w:szCs w:val="32"/>
          <w:rtl/>
          <w:lang w:bidi="ar-DZ"/>
        </w:rPr>
        <w:t>ت</w:t>
      </w:r>
      <w:r w:rsidRPr="002115F9">
        <w:rPr>
          <w:rFonts w:ascii="Traditional Arabic" w:hAnsi="Traditional Arabic" w:cs="Traditional Arabic"/>
          <w:sz w:val="32"/>
          <w:szCs w:val="32"/>
          <w:rtl/>
          <w:lang w:bidi="ar-DZ"/>
        </w:rPr>
        <w:t xml:space="preserve"> فاتورة الواردات الجزائرية</w:t>
      </w:r>
      <w:r w:rsidRPr="002115F9">
        <w:rPr>
          <w:rFonts w:ascii="Traditional Arabic" w:hAnsi="Traditional Arabic" w:cs="Traditional Arabic" w:hint="cs"/>
          <w:sz w:val="32"/>
          <w:szCs w:val="32"/>
          <w:rtl/>
          <w:lang w:bidi="ar-DZ"/>
        </w:rPr>
        <w:t xml:space="preserve"> بنسبة </w:t>
      </w:r>
      <w:r w:rsidRPr="002115F9">
        <w:rPr>
          <w:rFonts w:ascii="Traditional Arabic" w:hAnsi="Traditional Arabic" w:cs="Traditional Arabic" w:hint="cs"/>
          <w:sz w:val="24"/>
          <w:szCs w:val="24"/>
          <w:rtl/>
          <w:lang w:bidi="ar-DZ"/>
        </w:rPr>
        <w:t>42.88</w:t>
      </w:r>
      <w:r w:rsidRPr="002115F9">
        <w:rPr>
          <w:rFonts w:ascii="Traditional Arabic" w:hAnsi="Traditional Arabic" w:cs="Traditional Arabic"/>
          <w:sz w:val="24"/>
          <w:szCs w:val="24"/>
          <w:rtl/>
          <w:lang w:bidi="ar-DZ"/>
        </w:rPr>
        <w:t>%</w:t>
      </w:r>
      <w:r w:rsidRPr="002115F9">
        <w:rPr>
          <w:rFonts w:ascii="Traditional Arabic" w:hAnsi="Traditional Arabic" w:cs="Traditional Arabic" w:hint="cs"/>
          <w:sz w:val="28"/>
          <w:szCs w:val="28"/>
          <w:rtl/>
          <w:lang w:bidi="ar-DZ"/>
        </w:rPr>
        <w:t xml:space="preserve"> </w:t>
      </w:r>
      <w:r w:rsidRPr="002115F9">
        <w:rPr>
          <w:rFonts w:ascii="Traditional Arabic" w:hAnsi="Traditional Arabic" w:cs="Traditional Arabic" w:hint="cs"/>
          <w:sz w:val="32"/>
          <w:szCs w:val="32"/>
          <w:rtl/>
          <w:lang w:bidi="ar-DZ"/>
        </w:rPr>
        <w:t xml:space="preserve">خلال عامي </w:t>
      </w:r>
      <w:r w:rsidRPr="002115F9">
        <w:rPr>
          <w:rFonts w:ascii="Traditional Arabic" w:hAnsi="Traditional Arabic" w:cs="Traditional Arabic" w:hint="cs"/>
          <w:sz w:val="24"/>
          <w:szCs w:val="24"/>
          <w:rtl/>
          <w:lang w:bidi="ar-DZ"/>
        </w:rPr>
        <w:t xml:space="preserve">2007 </w:t>
      </w:r>
      <w:r w:rsidRPr="002115F9">
        <w:rPr>
          <w:rFonts w:ascii="Traditional Arabic" w:hAnsi="Traditional Arabic" w:cs="Traditional Arabic" w:hint="cs"/>
          <w:sz w:val="32"/>
          <w:szCs w:val="32"/>
          <w:rtl/>
          <w:lang w:bidi="ar-DZ"/>
        </w:rPr>
        <w:t>و</w:t>
      </w:r>
      <w:r w:rsidRPr="002115F9">
        <w:rPr>
          <w:rFonts w:ascii="Traditional Arabic" w:hAnsi="Traditional Arabic" w:cs="Traditional Arabic" w:hint="cs"/>
          <w:sz w:val="24"/>
          <w:szCs w:val="24"/>
          <w:rtl/>
          <w:lang w:bidi="ar-DZ"/>
        </w:rPr>
        <w:t>2008</w:t>
      </w:r>
      <w:r w:rsidRPr="002115F9">
        <w:rPr>
          <w:rFonts w:ascii="Traditional Arabic" w:hAnsi="Traditional Arabic" w:cs="Traditional Arabic" w:hint="cs"/>
          <w:sz w:val="32"/>
          <w:szCs w:val="32"/>
          <w:rtl/>
          <w:lang w:bidi="ar-DZ"/>
        </w:rPr>
        <w:t xml:space="preserve">، وكان بإمكان هذا الانخفاض أن يقلص إيرادات الجزائر من العملات الصعبة، إلا أن السلطات الجزائرية وحفاظا على احتياطي البلد من العملات الصعبة لجأت إلى تخفيض قيمة الدينار الجزائري للتأثير على طلب الواردات ومن تم الإبقاء على فاتورة الاستيراد على الأقل عند مستواها السابق.  </w:t>
      </w:r>
    </w:p>
    <w:p w:rsidR="00B35CF7" w:rsidRPr="002115F9" w:rsidRDefault="00B35CF7" w:rsidP="00355837">
      <w:pPr>
        <w:tabs>
          <w:tab w:val="right" w:pos="567"/>
          <w:tab w:val="left" w:pos="850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2115F9">
        <w:rPr>
          <w:rFonts w:ascii="Traditional Arabic" w:hAnsi="Traditional Arabic" w:cs="Traditional Arabic" w:hint="cs"/>
          <w:sz w:val="32"/>
          <w:szCs w:val="32"/>
          <w:rtl/>
          <w:lang w:bidi="ar-DZ"/>
        </w:rPr>
        <w:t xml:space="preserve">  ومن أجل توضيح بنية الواردات الجزائرية نستعين بالجدول رقم </w:t>
      </w:r>
      <w:r w:rsidR="001E3533">
        <w:rPr>
          <w:rFonts w:ascii="Traditional Arabic" w:hAnsi="Traditional Arabic" w:cs="Traditional Arabic" w:hint="cs"/>
          <w:sz w:val="24"/>
          <w:szCs w:val="24"/>
          <w:rtl/>
          <w:lang w:bidi="ar-DZ"/>
        </w:rPr>
        <w:t>22</w:t>
      </w:r>
      <w:r w:rsidRPr="002115F9">
        <w:rPr>
          <w:rFonts w:ascii="Traditional Arabic" w:hAnsi="Traditional Arabic" w:cs="Traditional Arabic" w:hint="cs"/>
          <w:sz w:val="24"/>
          <w:szCs w:val="24"/>
          <w:rtl/>
          <w:lang w:bidi="ar-DZ"/>
        </w:rPr>
        <w:t xml:space="preserve"> </w:t>
      </w:r>
      <w:r w:rsidRPr="002115F9">
        <w:rPr>
          <w:rFonts w:ascii="Traditional Arabic" w:hAnsi="Traditional Arabic" w:cs="Traditional Arabic" w:hint="cs"/>
          <w:sz w:val="32"/>
          <w:szCs w:val="32"/>
          <w:rtl/>
          <w:lang w:bidi="ar-DZ"/>
        </w:rPr>
        <w:t xml:space="preserve">الذي يوضح أهم المجموعات السلعية المكونة لها خلال الفترة من </w:t>
      </w:r>
      <w:r w:rsidRPr="002115F9">
        <w:rPr>
          <w:rFonts w:ascii="Traditional Arabic" w:hAnsi="Traditional Arabic" w:cs="Traditional Arabic" w:hint="cs"/>
          <w:sz w:val="24"/>
          <w:szCs w:val="24"/>
          <w:rtl/>
          <w:lang w:bidi="ar-DZ"/>
        </w:rPr>
        <w:t xml:space="preserve">2004 </w:t>
      </w:r>
      <w:r w:rsidRPr="002115F9">
        <w:rPr>
          <w:rFonts w:ascii="Traditional Arabic" w:hAnsi="Traditional Arabic" w:cs="Traditional Arabic" w:hint="cs"/>
          <w:sz w:val="32"/>
          <w:szCs w:val="32"/>
          <w:rtl/>
          <w:lang w:bidi="ar-DZ"/>
        </w:rPr>
        <w:t xml:space="preserve">إلى غاية </w:t>
      </w:r>
      <w:r w:rsidRPr="002115F9">
        <w:rPr>
          <w:rFonts w:ascii="Traditional Arabic" w:hAnsi="Traditional Arabic" w:cs="Traditional Arabic" w:hint="cs"/>
          <w:sz w:val="24"/>
          <w:szCs w:val="24"/>
          <w:rtl/>
          <w:lang w:bidi="ar-DZ"/>
        </w:rPr>
        <w:t>2009</w:t>
      </w:r>
      <w:r w:rsidRPr="002115F9">
        <w:rPr>
          <w:rFonts w:ascii="Traditional Arabic" w:hAnsi="Traditional Arabic" w:cs="Traditional Arabic" w:hint="cs"/>
          <w:sz w:val="32"/>
          <w:szCs w:val="32"/>
          <w:rtl/>
          <w:lang w:bidi="ar-DZ"/>
        </w:rPr>
        <w:t>، ويتعلق الأمر بمجموعة سلع التجهيز الصناعي، المواد ا</w:t>
      </w:r>
      <w:r>
        <w:rPr>
          <w:rFonts w:ascii="Traditional Arabic" w:hAnsi="Traditional Arabic" w:cs="Traditional Arabic" w:hint="cs"/>
          <w:sz w:val="32"/>
          <w:szCs w:val="32"/>
          <w:rtl/>
          <w:lang w:bidi="ar-DZ"/>
        </w:rPr>
        <w:t xml:space="preserve">لغذائية، المنتجات نصف المصنعة، </w:t>
      </w:r>
      <w:r w:rsidRPr="002115F9">
        <w:rPr>
          <w:rFonts w:ascii="Traditional Arabic" w:hAnsi="Traditional Arabic" w:cs="Traditional Arabic" w:hint="cs"/>
          <w:sz w:val="32"/>
          <w:szCs w:val="32"/>
          <w:rtl/>
          <w:lang w:bidi="ar-DZ"/>
        </w:rPr>
        <w:t xml:space="preserve">سلع الاستهلاك غير الغذائية، إضافة إلى المواد الخام، الذهب الصناعي، سلع التجهيز الفلاحية والطاقة والزيوت.   </w:t>
      </w:r>
    </w:p>
    <w:p w:rsidR="001E3533" w:rsidRDefault="00B35CF7" w:rsidP="0067613E">
      <w:pPr>
        <w:tabs>
          <w:tab w:val="right" w:pos="567"/>
          <w:tab w:val="left" w:pos="8505"/>
        </w:tabs>
        <w:bidi/>
        <w:spacing w:after="0" w:line="240" w:lineRule="auto"/>
        <w:jc w:val="center"/>
        <w:rPr>
          <w:rFonts w:ascii="Traditional Arabic" w:hAnsi="Traditional Arabic" w:cs="Traditional Arabic"/>
          <w:sz w:val="32"/>
          <w:szCs w:val="32"/>
          <w:rtl/>
          <w:lang w:bidi="ar-DZ"/>
        </w:rPr>
      </w:pPr>
      <w:r w:rsidRPr="004B7825">
        <w:rPr>
          <w:rFonts w:ascii="Traditional Arabic" w:hAnsi="Traditional Arabic" w:cs="Traditional Arabic" w:hint="cs"/>
          <w:sz w:val="32"/>
          <w:szCs w:val="32"/>
          <w:rtl/>
          <w:lang w:bidi="ar-DZ"/>
        </w:rPr>
        <w:t>الجدول رقم</w:t>
      </w:r>
      <w:r w:rsidR="001E3533">
        <w:rPr>
          <w:rFonts w:ascii="Traditional Arabic" w:hAnsi="Traditional Arabic" w:cs="Traditional Arabic" w:hint="cs"/>
          <w:sz w:val="32"/>
          <w:szCs w:val="32"/>
          <w:rtl/>
          <w:lang w:bidi="ar-DZ"/>
        </w:rPr>
        <w:t xml:space="preserve"> </w:t>
      </w:r>
      <w:r w:rsidR="0069768A">
        <w:rPr>
          <w:rFonts w:ascii="Traditional Arabic" w:hAnsi="Traditional Arabic" w:cs="Traditional Arabic" w:hint="cs"/>
          <w:sz w:val="24"/>
          <w:szCs w:val="24"/>
          <w:rtl/>
          <w:lang w:bidi="ar-DZ"/>
        </w:rPr>
        <w:t>23</w:t>
      </w:r>
      <w:r w:rsidR="001E3533">
        <w:rPr>
          <w:rFonts w:ascii="Traditional Arabic" w:hAnsi="Traditional Arabic" w:cs="Traditional Arabic" w:hint="cs"/>
          <w:sz w:val="32"/>
          <w:szCs w:val="32"/>
          <w:rtl/>
          <w:lang w:bidi="ar-DZ"/>
        </w:rPr>
        <w:t>:</w:t>
      </w:r>
      <w:r w:rsidR="00435CF1">
        <w:rPr>
          <w:rFonts w:ascii="Traditional Arabic" w:hAnsi="Traditional Arabic" w:cs="Traditional Arabic" w:hint="cs"/>
          <w:sz w:val="32"/>
          <w:szCs w:val="32"/>
          <w:rtl/>
          <w:lang w:bidi="ar-DZ"/>
        </w:rPr>
        <w:t xml:space="preserve"> </w:t>
      </w:r>
      <w:r w:rsidR="001E3533">
        <w:rPr>
          <w:rFonts w:ascii="Traditional Arabic" w:hAnsi="Traditional Arabic" w:cs="Traditional Arabic" w:hint="cs"/>
          <w:sz w:val="32"/>
          <w:szCs w:val="32"/>
          <w:rtl/>
          <w:lang w:bidi="ar-DZ"/>
        </w:rPr>
        <w:t>التركيبة السلعية ل</w:t>
      </w:r>
      <w:r w:rsidRPr="004B7825">
        <w:rPr>
          <w:rFonts w:ascii="Traditional Arabic" w:hAnsi="Traditional Arabic" w:cs="Traditional Arabic" w:hint="cs"/>
          <w:sz w:val="32"/>
          <w:szCs w:val="32"/>
          <w:rtl/>
          <w:lang w:bidi="ar-DZ"/>
        </w:rPr>
        <w:t>واردات</w:t>
      </w:r>
      <w:r w:rsidR="001E3533">
        <w:rPr>
          <w:rFonts w:ascii="Traditional Arabic" w:hAnsi="Traditional Arabic" w:cs="Traditional Arabic" w:hint="cs"/>
          <w:sz w:val="32"/>
          <w:szCs w:val="32"/>
          <w:rtl/>
          <w:lang w:bidi="ar-DZ"/>
        </w:rPr>
        <w:t xml:space="preserve"> الجزائر</w:t>
      </w:r>
      <w:r w:rsidRPr="004B7825">
        <w:rPr>
          <w:rFonts w:ascii="Traditional Arabic" w:hAnsi="Traditional Arabic" w:cs="Traditional Arabic" w:hint="cs"/>
          <w:sz w:val="32"/>
          <w:szCs w:val="32"/>
          <w:rtl/>
          <w:lang w:bidi="ar-DZ"/>
        </w:rPr>
        <w:t xml:space="preserve"> خلال الفترة </w:t>
      </w:r>
      <w:r w:rsidRPr="004B7825">
        <w:rPr>
          <w:rFonts w:ascii="Traditional Arabic" w:hAnsi="Traditional Arabic" w:cs="Traditional Arabic"/>
          <w:sz w:val="24"/>
          <w:szCs w:val="24"/>
          <w:lang w:bidi="ar-DZ"/>
        </w:rPr>
        <w:t>2004</w:t>
      </w:r>
      <w:r w:rsidRPr="004B7825">
        <w:rPr>
          <w:rFonts w:ascii="Traditional Arabic" w:hAnsi="Traditional Arabic" w:cs="Traditional Arabic" w:hint="cs"/>
          <w:sz w:val="24"/>
          <w:szCs w:val="24"/>
          <w:rtl/>
          <w:lang w:bidi="ar-DZ"/>
        </w:rPr>
        <w:t>-</w:t>
      </w:r>
      <w:r w:rsidRPr="004B7825">
        <w:rPr>
          <w:rFonts w:ascii="Traditional Arabic" w:hAnsi="Traditional Arabic" w:cs="Traditional Arabic"/>
          <w:sz w:val="24"/>
          <w:szCs w:val="24"/>
          <w:lang w:bidi="ar-DZ"/>
        </w:rPr>
        <w:t>2009</w:t>
      </w:r>
    </w:p>
    <w:p w:rsidR="00B35CF7" w:rsidRPr="004B7825" w:rsidRDefault="00B35CF7" w:rsidP="0067613E">
      <w:pPr>
        <w:tabs>
          <w:tab w:val="right" w:pos="567"/>
          <w:tab w:val="left" w:pos="8505"/>
        </w:tabs>
        <w:bidi/>
        <w:spacing w:after="0" w:line="240" w:lineRule="auto"/>
        <w:jc w:val="center"/>
        <w:rPr>
          <w:rFonts w:ascii="Traditional Arabic" w:hAnsi="Traditional Arabic" w:cs="Traditional Arabic"/>
          <w:sz w:val="32"/>
          <w:szCs w:val="32"/>
          <w:rtl/>
          <w:lang w:bidi="ar-DZ"/>
        </w:rPr>
      </w:pPr>
      <w:r w:rsidRPr="004B7825">
        <w:rPr>
          <w:rFonts w:ascii="Traditional Arabic" w:hAnsi="Traditional Arabic" w:cs="Traditional Arabic" w:hint="cs"/>
          <w:sz w:val="32"/>
          <w:szCs w:val="32"/>
          <w:rtl/>
          <w:lang w:bidi="ar-DZ"/>
        </w:rPr>
        <w:t>(</w:t>
      </w:r>
      <w:r w:rsidRPr="004B7825">
        <w:rPr>
          <w:rFonts w:ascii="Traditional Arabic" w:hAnsi="Traditional Arabic" w:cs="Traditional Arabic" w:hint="cs"/>
          <w:sz w:val="28"/>
          <w:szCs w:val="28"/>
          <w:rtl/>
          <w:lang w:bidi="ar-DZ"/>
        </w:rPr>
        <w:t xml:space="preserve">مليون دولار، </w:t>
      </w:r>
      <w:r w:rsidRPr="004B7825">
        <w:rPr>
          <w:rFonts w:ascii="Traditional Arabic" w:hAnsi="Traditional Arabic" w:cs="Traditional Arabic" w:hint="cs"/>
          <w:rtl/>
          <w:lang w:bidi="ar-DZ"/>
        </w:rPr>
        <w:t xml:space="preserve">2009 </w:t>
      </w:r>
      <w:r w:rsidRPr="004B7825">
        <w:rPr>
          <w:rFonts w:ascii="Traditional Arabic" w:hAnsi="Traditional Arabic" w:cs="Traditional Arabic" w:hint="cs"/>
          <w:sz w:val="28"/>
          <w:szCs w:val="28"/>
          <w:rtl/>
          <w:lang w:bidi="ar-DZ"/>
        </w:rPr>
        <w:t xml:space="preserve">تقديرات </w:t>
      </w:r>
      <w:r w:rsidRPr="004B7825">
        <w:rPr>
          <w:rFonts w:ascii="Traditional Arabic" w:hAnsi="Traditional Arabic" w:cs="Traditional Arabic" w:hint="cs"/>
          <w:rtl/>
          <w:lang w:bidi="ar-DZ"/>
        </w:rPr>
        <w:t>9</w:t>
      </w:r>
      <w:r w:rsidRPr="004B7825">
        <w:rPr>
          <w:rFonts w:ascii="Traditional Arabic" w:hAnsi="Traditional Arabic" w:cs="Traditional Arabic" w:hint="cs"/>
          <w:sz w:val="28"/>
          <w:szCs w:val="28"/>
          <w:rtl/>
          <w:lang w:bidi="ar-DZ"/>
        </w:rPr>
        <w:t xml:space="preserve"> أشهر الأولى</w:t>
      </w:r>
      <w:r w:rsidRPr="004B7825">
        <w:rPr>
          <w:rFonts w:ascii="Traditional Arabic" w:hAnsi="Traditional Arabic" w:cs="Traditional Arabic" w:hint="cs"/>
          <w:sz w:val="32"/>
          <w:szCs w:val="32"/>
          <w:rtl/>
          <w:lang w:bidi="ar-DZ"/>
        </w:rPr>
        <w:t>)</w:t>
      </w:r>
    </w:p>
    <w:tbl>
      <w:tblPr>
        <w:tblStyle w:val="Grilledutableau"/>
        <w:bidiVisual/>
        <w:tblW w:w="0" w:type="auto"/>
        <w:tblInd w:w="108" w:type="dxa"/>
        <w:tblLook w:val="04A0"/>
      </w:tblPr>
      <w:tblGrid>
        <w:gridCol w:w="2437"/>
        <w:gridCol w:w="1107"/>
        <w:gridCol w:w="1107"/>
        <w:gridCol w:w="1107"/>
        <w:gridCol w:w="1107"/>
        <w:gridCol w:w="1224"/>
        <w:gridCol w:w="1088"/>
      </w:tblGrid>
      <w:tr w:rsidR="00B35CF7" w:rsidTr="006865B2">
        <w:trPr>
          <w:trHeight w:val="435"/>
        </w:trPr>
        <w:tc>
          <w:tcPr>
            <w:tcW w:w="2437" w:type="dxa"/>
          </w:tcPr>
          <w:p w:rsidR="00B35CF7" w:rsidRPr="004F6FA0" w:rsidRDefault="00B35CF7" w:rsidP="00EC74F4">
            <w:pPr>
              <w:tabs>
                <w:tab w:val="right" w:pos="567"/>
                <w:tab w:val="left" w:pos="8505"/>
              </w:tabs>
              <w:bidi/>
              <w:jc w:val="center"/>
              <w:rPr>
                <w:rFonts w:ascii="Traditional Arabic" w:hAnsi="Traditional Arabic" w:cs="Traditional Arabic"/>
                <w:sz w:val="28"/>
                <w:szCs w:val="28"/>
                <w:rtl/>
                <w:lang w:bidi="ar-DZ"/>
              </w:rPr>
            </w:pPr>
            <w:r w:rsidRPr="004F6FA0">
              <w:rPr>
                <w:rFonts w:ascii="Traditional Arabic" w:hAnsi="Traditional Arabic" w:cs="Traditional Arabic" w:hint="cs"/>
                <w:sz w:val="28"/>
                <w:szCs w:val="28"/>
                <w:rtl/>
                <w:lang w:bidi="ar-DZ"/>
              </w:rPr>
              <w:t>السنوات</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2005</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2006</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2007</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2008</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2009</w:t>
            </w:r>
          </w:p>
        </w:tc>
      </w:tr>
      <w:tr w:rsidR="00B35CF7" w:rsidTr="006865B2">
        <w:trPr>
          <w:trHeight w:val="435"/>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المواد الغذائية</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3604.54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3587.34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3800.03</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4953.90</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7812.63</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4536</w:t>
            </w:r>
          </w:p>
        </w:tc>
      </w:tr>
      <w:tr w:rsidR="00B35CF7" w:rsidTr="006865B2">
        <w:trPr>
          <w:trHeight w:val="402"/>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الطاقة والزيوت</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173.33</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211.75</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244.34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324.26</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594.46</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323</w:t>
            </w:r>
          </w:p>
        </w:tc>
      </w:tr>
      <w:tr w:rsidR="00B35CF7" w:rsidTr="006865B2">
        <w:trPr>
          <w:trHeight w:val="435"/>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مواد الخام</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783.84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751.01</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842.92</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1324.66</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1393.63</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871</w:t>
            </w:r>
          </w:p>
        </w:tc>
      </w:tr>
      <w:tr w:rsidR="00B35CF7" w:rsidTr="006865B2">
        <w:trPr>
          <w:trHeight w:val="435"/>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منتجات نصف مصنعة</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3645.44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4087.82</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4933.89</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7104.82</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10014.691</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7632</w:t>
            </w:r>
          </w:p>
        </w:tc>
      </w:tr>
      <w:tr w:rsidR="00B35CF7" w:rsidTr="006865B2">
        <w:trPr>
          <w:trHeight w:val="435"/>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سلع التجهيز الفلاحية</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172.86</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159.78</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91.93</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146.12</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173.70</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158</w:t>
            </w:r>
          </w:p>
        </w:tc>
      </w:tr>
      <w:tr w:rsidR="00B35CF7" w:rsidTr="006865B2">
        <w:trPr>
          <w:trHeight w:val="435"/>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سلع التجهيز الصناعية</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7124.14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8425.43</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8527.80</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10025.93</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15142.33</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11576</w:t>
            </w:r>
          </w:p>
        </w:tc>
      </w:tr>
      <w:tr w:rsidR="00B35CF7" w:rsidTr="006865B2">
        <w:trPr>
          <w:trHeight w:val="446"/>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سلع استهلاكية غير غذائية</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2783.38</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3103.44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3009.13</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3751.50</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4345.76</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4701</w:t>
            </w:r>
          </w:p>
        </w:tc>
      </w:tr>
      <w:tr w:rsidR="00B35CF7" w:rsidTr="006865B2">
        <w:trPr>
          <w:trHeight w:val="446"/>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ذهب صناعي</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6.14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3.54</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2.20</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0.01</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2.08</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r>
      <w:tr w:rsidR="00B35CF7" w:rsidTr="006865B2">
        <w:trPr>
          <w:trHeight w:val="446"/>
        </w:trPr>
        <w:tc>
          <w:tcPr>
            <w:tcW w:w="2437" w:type="dxa"/>
          </w:tcPr>
          <w:p w:rsidR="00B35CF7" w:rsidRPr="003238ED" w:rsidRDefault="00B35CF7" w:rsidP="00EC74F4">
            <w:pPr>
              <w:tabs>
                <w:tab w:val="right" w:pos="567"/>
                <w:tab w:val="left" w:pos="8505"/>
              </w:tabs>
              <w:bidi/>
              <w:jc w:val="center"/>
              <w:rPr>
                <w:rFonts w:ascii="Traditional Arabic" w:hAnsi="Traditional Arabic" w:cs="Traditional Arabic"/>
                <w:sz w:val="28"/>
                <w:szCs w:val="28"/>
                <w:rtl/>
                <w:lang w:bidi="ar-DZ"/>
              </w:rPr>
            </w:pPr>
            <w:r w:rsidRPr="003238ED">
              <w:rPr>
                <w:rFonts w:ascii="Traditional Arabic" w:hAnsi="Traditional Arabic" w:cs="Traditional Arabic" w:hint="cs"/>
                <w:sz w:val="28"/>
                <w:szCs w:val="28"/>
                <w:rtl/>
                <w:lang w:bidi="ar-DZ"/>
              </w:rPr>
              <w:t>المجموع</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18293.66</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20357.09</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21456.23</w:t>
            </w:r>
          </w:p>
        </w:tc>
        <w:tc>
          <w:tcPr>
            <w:tcW w:w="1107"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27631.20</w:t>
            </w:r>
          </w:p>
        </w:tc>
        <w:tc>
          <w:tcPr>
            <w:tcW w:w="1224"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39479.27</w:t>
            </w:r>
          </w:p>
        </w:tc>
        <w:tc>
          <w:tcPr>
            <w:tcW w:w="1088"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29797</w:t>
            </w:r>
          </w:p>
        </w:tc>
      </w:tr>
    </w:tbl>
    <w:p w:rsidR="006865B2" w:rsidRPr="001B2D02" w:rsidRDefault="006865B2" w:rsidP="0095312F">
      <w:pPr>
        <w:tabs>
          <w:tab w:val="right" w:pos="567"/>
          <w:tab w:val="left" w:pos="8505"/>
        </w:tabs>
        <w:bidi/>
        <w:spacing w:before="240" w:after="0" w:line="240" w:lineRule="auto"/>
        <w:jc w:val="right"/>
        <w:rPr>
          <w:rFonts w:asciiTheme="majorBidi" w:hAnsiTheme="majorBidi" w:cstheme="majorBidi"/>
          <w:sz w:val="20"/>
          <w:szCs w:val="20"/>
          <w:lang w:bidi="ar-DZ"/>
        </w:rPr>
      </w:pPr>
      <w:r w:rsidRPr="001B2D02">
        <w:rPr>
          <w:rFonts w:asciiTheme="majorBidi" w:hAnsiTheme="majorBidi" w:cstheme="majorBidi"/>
          <w:sz w:val="20"/>
          <w:szCs w:val="20"/>
          <w:lang w:bidi="ar-DZ"/>
        </w:rPr>
        <w:t xml:space="preserve">Source: </w:t>
      </w:r>
      <w:r w:rsidR="001B2D02" w:rsidRPr="001B2D02">
        <w:rPr>
          <w:rFonts w:asciiTheme="majorBidi" w:hAnsiTheme="majorBidi" w:cstheme="majorBidi"/>
          <w:sz w:val="20"/>
          <w:szCs w:val="20"/>
          <w:lang w:bidi="ar-DZ"/>
        </w:rPr>
        <w:t xml:space="preserve">Ministère du </w:t>
      </w:r>
      <w:r w:rsidR="0095312F">
        <w:rPr>
          <w:rFonts w:asciiTheme="majorBidi" w:hAnsiTheme="majorBidi" w:cstheme="majorBidi"/>
          <w:sz w:val="20"/>
          <w:szCs w:val="20"/>
          <w:lang w:bidi="ar-DZ"/>
        </w:rPr>
        <w:t>C</w:t>
      </w:r>
      <w:r w:rsidR="001B2D02" w:rsidRPr="001B2D02">
        <w:rPr>
          <w:rFonts w:asciiTheme="majorBidi" w:hAnsiTheme="majorBidi" w:cstheme="majorBidi"/>
          <w:sz w:val="20"/>
          <w:szCs w:val="20"/>
          <w:lang w:bidi="ar-DZ"/>
        </w:rPr>
        <w:t xml:space="preserve">ommerce, agence nationale de promotion du commerce extérieur, algex, </w:t>
      </w:r>
      <w:hyperlink r:id="rId20" w:history="1">
        <w:r w:rsidR="001B2D02" w:rsidRPr="001B2D02">
          <w:rPr>
            <w:rStyle w:val="Lienhypertexte"/>
            <w:rFonts w:asciiTheme="majorBidi" w:hAnsiTheme="majorBidi" w:cstheme="majorBidi"/>
            <w:sz w:val="20"/>
            <w:szCs w:val="20"/>
            <w:lang w:bidi="ar-DZ"/>
          </w:rPr>
          <w:t>www.algex.dz</w:t>
        </w:r>
      </w:hyperlink>
    </w:p>
    <w:p w:rsidR="00B35CF7" w:rsidRPr="00E9578B" w:rsidRDefault="00B35CF7" w:rsidP="00435CF1">
      <w:pPr>
        <w:tabs>
          <w:tab w:val="right" w:pos="567"/>
          <w:tab w:val="left" w:pos="8505"/>
        </w:tabs>
        <w:bidi/>
        <w:spacing w:before="24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Pr="00E9578B">
        <w:rPr>
          <w:rFonts w:ascii="Traditional Arabic" w:hAnsi="Traditional Arabic" w:cs="Traditional Arabic" w:hint="cs"/>
          <w:sz w:val="32"/>
          <w:szCs w:val="32"/>
          <w:rtl/>
          <w:lang w:bidi="ar-DZ"/>
        </w:rPr>
        <w:t xml:space="preserve">  ومن قراءة معطيات الجدول يتضح أن سلع التجهيز الصناعي احتلت المرتبة الأولى من إجمالي الواردات طوال فترة الدراسة، فخلال عام </w:t>
      </w:r>
      <w:r w:rsidRPr="00E9578B">
        <w:rPr>
          <w:rFonts w:ascii="Traditional Arabic" w:hAnsi="Traditional Arabic" w:cs="Traditional Arabic" w:hint="cs"/>
          <w:sz w:val="24"/>
          <w:szCs w:val="24"/>
          <w:rtl/>
          <w:lang w:bidi="ar-DZ"/>
        </w:rPr>
        <w:t xml:space="preserve">2008 </w:t>
      </w:r>
      <w:r w:rsidRPr="00E9578B">
        <w:rPr>
          <w:rFonts w:ascii="Traditional Arabic" w:hAnsi="Traditional Arabic" w:cs="Traditional Arabic" w:hint="cs"/>
          <w:sz w:val="32"/>
          <w:szCs w:val="32"/>
          <w:rtl/>
          <w:lang w:bidi="ar-DZ"/>
        </w:rPr>
        <w:t xml:space="preserve">سجلت مبلغ </w:t>
      </w:r>
      <w:r w:rsidRPr="00E9578B">
        <w:rPr>
          <w:rFonts w:ascii="Traditional Arabic" w:hAnsi="Traditional Arabic" w:cs="Traditional Arabic" w:hint="cs"/>
          <w:sz w:val="24"/>
          <w:szCs w:val="24"/>
          <w:rtl/>
          <w:lang w:bidi="ar-DZ"/>
        </w:rPr>
        <w:t xml:space="preserve">15142.33 </w:t>
      </w:r>
      <w:r w:rsidRPr="00E9578B">
        <w:rPr>
          <w:rFonts w:ascii="Traditional Arabic" w:hAnsi="Traditional Arabic" w:cs="Traditional Arabic" w:hint="cs"/>
          <w:sz w:val="32"/>
          <w:szCs w:val="32"/>
          <w:rtl/>
          <w:lang w:bidi="ar-DZ"/>
        </w:rPr>
        <w:t xml:space="preserve">مليون دولار بعد أن كانت تساوي </w:t>
      </w:r>
      <w:r w:rsidRPr="00E9578B">
        <w:rPr>
          <w:rFonts w:ascii="Traditional Arabic" w:hAnsi="Traditional Arabic" w:cs="Traditional Arabic" w:hint="cs"/>
          <w:sz w:val="24"/>
          <w:szCs w:val="24"/>
          <w:rtl/>
          <w:lang w:bidi="ar-DZ"/>
        </w:rPr>
        <w:t xml:space="preserve">10025.93 </w:t>
      </w:r>
      <w:r w:rsidRPr="00E9578B">
        <w:rPr>
          <w:rFonts w:ascii="Traditional Arabic" w:hAnsi="Traditional Arabic" w:cs="Traditional Arabic" w:hint="cs"/>
          <w:sz w:val="32"/>
          <w:szCs w:val="32"/>
          <w:rtl/>
          <w:lang w:bidi="ar-DZ"/>
        </w:rPr>
        <w:t xml:space="preserve">مليون دولار عام </w:t>
      </w:r>
      <w:r w:rsidRPr="00E9578B">
        <w:rPr>
          <w:rFonts w:ascii="Traditional Arabic" w:hAnsi="Traditional Arabic" w:cs="Traditional Arabic" w:hint="cs"/>
          <w:sz w:val="24"/>
          <w:szCs w:val="24"/>
          <w:rtl/>
          <w:lang w:bidi="ar-DZ"/>
        </w:rPr>
        <w:t>2007</w:t>
      </w:r>
      <w:r w:rsidRPr="00E9578B">
        <w:rPr>
          <w:rFonts w:ascii="Traditional Arabic" w:hAnsi="Traditional Arabic" w:cs="Traditional Arabic" w:hint="cs"/>
          <w:sz w:val="32"/>
          <w:szCs w:val="32"/>
          <w:rtl/>
          <w:lang w:bidi="ar-DZ"/>
        </w:rPr>
        <w:t>،</w:t>
      </w:r>
      <w:r w:rsidRPr="00E9578B">
        <w:rPr>
          <w:rFonts w:ascii="Traditional Arabic" w:hAnsi="Traditional Arabic" w:cs="Traditional Arabic" w:hint="cs"/>
          <w:sz w:val="28"/>
          <w:szCs w:val="28"/>
          <w:rtl/>
          <w:lang w:bidi="ar-DZ"/>
        </w:rPr>
        <w:t xml:space="preserve"> </w:t>
      </w:r>
      <w:r w:rsidRPr="00E9578B">
        <w:rPr>
          <w:rFonts w:ascii="Traditional Arabic" w:hAnsi="Traditional Arabic" w:cs="Traditional Arabic" w:hint="cs"/>
          <w:sz w:val="32"/>
          <w:szCs w:val="32"/>
          <w:rtl/>
          <w:lang w:bidi="ar-DZ"/>
        </w:rPr>
        <w:t xml:space="preserve">أي أنها حققت زيادة نسبتها </w:t>
      </w:r>
      <w:r w:rsidRPr="00E9578B">
        <w:rPr>
          <w:rFonts w:ascii="Traditional Arabic" w:hAnsi="Traditional Arabic" w:cs="Traditional Arabic" w:hint="cs"/>
          <w:sz w:val="24"/>
          <w:szCs w:val="24"/>
          <w:rtl/>
          <w:lang w:bidi="ar-DZ"/>
        </w:rPr>
        <w:t>51.03</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32"/>
          <w:szCs w:val="32"/>
          <w:rtl/>
          <w:lang w:bidi="ar-DZ"/>
        </w:rPr>
        <w:t xml:space="preserve">، وهي تشكل </w:t>
      </w:r>
      <w:r w:rsidRPr="00E9578B">
        <w:rPr>
          <w:rFonts w:ascii="Traditional Arabic" w:hAnsi="Traditional Arabic" w:cs="Traditional Arabic" w:hint="cs"/>
          <w:sz w:val="24"/>
          <w:szCs w:val="24"/>
          <w:rtl/>
          <w:lang w:bidi="ar-DZ"/>
        </w:rPr>
        <w:t>38.35</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sidRPr="00E9578B">
        <w:rPr>
          <w:rFonts w:ascii="Traditional Arabic" w:hAnsi="Traditional Arabic" w:cs="Traditional Arabic" w:hint="cs"/>
          <w:sz w:val="32"/>
          <w:szCs w:val="32"/>
          <w:rtl/>
          <w:lang w:bidi="ar-DZ"/>
        </w:rPr>
        <w:t xml:space="preserve">من إجمالي الواردات في عام </w:t>
      </w:r>
      <w:r w:rsidRPr="00E9578B">
        <w:rPr>
          <w:rFonts w:ascii="Traditional Arabic" w:hAnsi="Traditional Arabic" w:cs="Traditional Arabic" w:hint="cs"/>
          <w:sz w:val="24"/>
          <w:szCs w:val="24"/>
          <w:rtl/>
          <w:lang w:bidi="ar-DZ"/>
        </w:rPr>
        <w:t>2008</w:t>
      </w:r>
      <w:r w:rsidRPr="00E9578B">
        <w:rPr>
          <w:rFonts w:ascii="Traditional Arabic" w:hAnsi="Traditional Arabic" w:cs="Traditional Arabic" w:hint="cs"/>
          <w:sz w:val="32"/>
          <w:szCs w:val="32"/>
          <w:rtl/>
          <w:lang w:bidi="ar-DZ"/>
        </w:rPr>
        <w:t xml:space="preserve">. بالإضافة إلى ذلك، ففي عام </w:t>
      </w:r>
      <w:r w:rsidRPr="00E9578B">
        <w:rPr>
          <w:rFonts w:ascii="Traditional Arabic" w:hAnsi="Traditional Arabic" w:cs="Traditional Arabic" w:hint="cs"/>
          <w:sz w:val="24"/>
          <w:szCs w:val="24"/>
          <w:rtl/>
          <w:lang w:bidi="ar-DZ"/>
        </w:rPr>
        <w:t xml:space="preserve">2008 </w:t>
      </w:r>
      <w:r w:rsidRPr="00E9578B">
        <w:rPr>
          <w:rFonts w:ascii="Traditional Arabic" w:hAnsi="Traditional Arabic" w:cs="Traditional Arabic" w:hint="cs"/>
          <w:sz w:val="32"/>
          <w:szCs w:val="32"/>
          <w:rtl/>
          <w:lang w:bidi="ar-DZ"/>
        </w:rPr>
        <w:t xml:space="preserve">احتلت الواردات من المنتجات نصف المصنعة المرتبة الثانية من إجمالي الواردات بنسبة تقدر </w:t>
      </w:r>
      <w:r w:rsidRPr="00E9578B">
        <w:rPr>
          <w:rFonts w:ascii="Traditional Arabic" w:hAnsi="Traditional Arabic" w:cs="Traditional Arabic" w:hint="cs"/>
          <w:sz w:val="24"/>
          <w:szCs w:val="24"/>
          <w:rtl/>
          <w:lang w:bidi="ar-DZ"/>
        </w:rPr>
        <w:t>25.37</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sidRPr="00E9578B">
        <w:rPr>
          <w:rFonts w:ascii="Traditional Arabic" w:hAnsi="Traditional Arabic" w:cs="Traditional Arabic" w:hint="cs"/>
          <w:sz w:val="32"/>
          <w:szCs w:val="32"/>
          <w:rtl/>
          <w:lang w:bidi="ar-DZ"/>
        </w:rPr>
        <w:t xml:space="preserve">أي ما قيمته </w:t>
      </w:r>
      <w:r w:rsidRPr="00E9578B">
        <w:rPr>
          <w:rFonts w:ascii="Traditional Arabic" w:hAnsi="Traditional Arabic" w:cs="Traditional Arabic" w:hint="cs"/>
          <w:sz w:val="24"/>
          <w:szCs w:val="24"/>
          <w:rtl/>
          <w:lang w:bidi="ar-DZ"/>
        </w:rPr>
        <w:t xml:space="preserve">10014.69 </w:t>
      </w:r>
      <w:r w:rsidRPr="00E9578B">
        <w:rPr>
          <w:rFonts w:ascii="Traditional Arabic" w:hAnsi="Traditional Arabic" w:cs="Traditional Arabic" w:hint="cs"/>
          <w:sz w:val="32"/>
          <w:szCs w:val="32"/>
          <w:rtl/>
          <w:lang w:bidi="ar-DZ"/>
        </w:rPr>
        <w:t xml:space="preserve">مليون دولار، أما المواد الغذائية فقد احتلت ثالث رتبة بنسبة </w:t>
      </w:r>
      <w:r w:rsidRPr="00E9578B">
        <w:rPr>
          <w:rFonts w:ascii="Traditional Arabic" w:hAnsi="Traditional Arabic" w:cs="Traditional Arabic" w:hint="cs"/>
          <w:sz w:val="24"/>
          <w:szCs w:val="24"/>
          <w:rtl/>
          <w:lang w:bidi="ar-DZ"/>
        </w:rPr>
        <w:t>19.79</w:t>
      </w:r>
      <w:r w:rsidRPr="00E9578B">
        <w:rPr>
          <w:rFonts w:ascii="Traditional Arabic" w:hAnsi="Traditional Arabic" w:cs="Traditional Arabic"/>
          <w:sz w:val="24"/>
          <w:szCs w:val="24"/>
          <w:rtl/>
          <w:lang w:bidi="ar-DZ"/>
        </w:rPr>
        <w:t>%</w:t>
      </w:r>
      <w:r>
        <w:rPr>
          <w:rFonts w:ascii="Traditional Arabic" w:hAnsi="Traditional Arabic" w:cs="Traditional Arabic" w:hint="cs"/>
          <w:sz w:val="32"/>
          <w:szCs w:val="32"/>
          <w:rtl/>
          <w:lang w:bidi="ar-DZ"/>
        </w:rPr>
        <w:t>،</w:t>
      </w:r>
      <w:r w:rsidRPr="00E9578B">
        <w:rPr>
          <w:rFonts w:ascii="Traditional Arabic" w:hAnsi="Traditional Arabic" w:cs="Traditional Arabic" w:hint="cs"/>
          <w:sz w:val="32"/>
          <w:szCs w:val="32"/>
          <w:rtl/>
          <w:lang w:bidi="ar-DZ"/>
        </w:rPr>
        <w:t xml:space="preserve"> وبعدها تأتي السلع الاستهلاكية غير الغذائية في المرتبة الرابعة حيث تمثل </w:t>
      </w:r>
      <w:r w:rsidRPr="00E9578B">
        <w:rPr>
          <w:rFonts w:ascii="Traditional Arabic" w:hAnsi="Traditional Arabic" w:cs="Traditional Arabic" w:hint="cs"/>
          <w:sz w:val="24"/>
          <w:szCs w:val="24"/>
          <w:rtl/>
          <w:lang w:bidi="ar-DZ"/>
        </w:rPr>
        <w:t>11</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من إجمالي الواردات،</w:t>
      </w:r>
      <w:r w:rsidRPr="00E9578B">
        <w:rPr>
          <w:rFonts w:ascii="Traditional Arabic" w:hAnsi="Traditional Arabic" w:cs="Traditional Arabic" w:hint="cs"/>
          <w:sz w:val="32"/>
          <w:szCs w:val="32"/>
          <w:rtl/>
          <w:lang w:bidi="ar-DZ"/>
        </w:rPr>
        <w:t xml:space="preserve"> أما المواد الخام، الطاقة والزيوت، فإنها تحتل الرتبة الخامسة والسادسة على التوالي محققة نسبة قدرها </w:t>
      </w:r>
      <w:r w:rsidRPr="00E9578B">
        <w:rPr>
          <w:rFonts w:ascii="Traditional Arabic" w:hAnsi="Traditional Arabic" w:cs="Traditional Arabic" w:hint="cs"/>
          <w:sz w:val="24"/>
          <w:szCs w:val="24"/>
          <w:rtl/>
          <w:lang w:bidi="ar-DZ"/>
        </w:rPr>
        <w:t>3.53</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sidRPr="00E9578B">
        <w:rPr>
          <w:rFonts w:ascii="Traditional Arabic" w:hAnsi="Traditional Arabic" w:cs="Traditional Arabic" w:hint="cs"/>
          <w:sz w:val="32"/>
          <w:szCs w:val="32"/>
          <w:rtl/>
          <w:lang w:bidi="ar-DZ"/>
        </w:rPr>
        <w:t>و</w:t>
      </w:r>
      <w:r w:rsidRPr="00E9578B">
        <w:rPr>
          <w:rFonts w:ascii="Traditional Arabic" w:hAnsi="Traditional Arabic" w:cs="Traditional Arabic" w:hint="cs"/>
          <w:sz w:val="24"/>
          <w:szCs w:val="24"/>
          <w:rtl/>
          <w:lang w:bidi="ar-DZ"/>
        </w:rPr>
        <w:t>1.50</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sidRPr="00E9578B">
        <w:rPr>
          <w:rFonts w:ascii="Traditional Arabic" w:hAnsi="Traditional Arabic" w:cs="Traditional Arabic" w:hint="cs"/>
          <w:sz w:val="32"/>
          <w:szCs w:val="32"/>
          <w:rtl/>
          <w:lang w:bidi="ar-DZ"/>
        </w:rPr>
        <w:t xml:space="preserve">على الترتيب، وتأتي في المرتبة الأخيرة من حيث الاستيراد سلع التجهيز الفلاحية والذهب الصناعي بنسبة </w:t>
      </w:r>
      <w:r w:rsidRPr="00E9578B">
        <w:rPr>
          <w:rFonts w:ascii="Traditional Arabic" w:hAnsi="Traditional Arabic" w:cs="Traditional Arabic" w:hint="cs"/>
          <w:sz w:val="24"/>
          <w:szCs w:val="24"/>
          <w:rtl/>
          <w:lang w:bidi="ar-DZ"/>
        </w:rPr>
        <w:t>0.45</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32"/>
          <w:szCs w:val="32"/>
          <w:rtl/>
          <w:lang w:bidi="ar-DZ"/>
        </w:rPr>
        <w:t xml:space="preserve">.  </w:t>
      </w:r>
    </w:p>
    <w:p w:rsidR="00B35CF7" w:rsidRPr="00E9578B" w:rsidRDefault="00B35CF7" w:rsidP="00B35CF7">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9578B">
        <w:rPr>
          <w:rFonts w:ascii="Traditional Arabic" w:hAnsi="Traditional Arabic" w:cs="Traditional Arabic" w:hint="cs"/>
          <w:sz w:val="32"/>
          <w:szCs w:val="32"/>
          <w:rtl/>
          <w:lang w:bidi="ar-DZ"/>
        </w:rPr>
        <w:t xml:space="preserve">  ويظهر من خلال تحليل الواردات أنها تتزايد من عام إلى آخر، ووصلت أوجها عام </w:t>
      </w:r>
      <w:r w:rsidRPr="00E9578B">
        <w:rPr>
          <w:rFonts w:ascii="Traditional Arabic" w:hAnsi="Traditional Arabic" w:cs="Traditional Arabic" w:hint="cs"/>
          <w:sz w:val="24"/>
          <w:szCs w:val="24"/>
          <w:rtl/>
          <w:lang w:bidi="ar-DZ"/>
        </w:rPr>
        <w:t>2008</w:t>
      </w:r>
      <w:r w:rsidRPr="00E9578B">
        <w:rPr>
          <w:rFonts w:ascii="Traditional Arabic" w:hAnsi="Traditional Arabic" w:cs="Traditional Arabic" w:hint="cs"/>
          <w:sz w:val="32"/>
          <w:szCs w:val="32"/>
          <w:rtl/>
          <w:lang w:bidi="ar-DZ"/>
        </w:rPr>
        <w:t xml:space="preserve">، حيث حققت مبلغ </w:t>
      </w:r>
      <w:r w:rsidRPr="00E9578B">
        <w:rPr>
          <w:rFonts w:ascii="Traditional Arabic" w:hAnsi="Traditional Arabic" w:cs="Traditional Arabic" w:hint="cs"/>
          <w:sz w:val="24"/>
          <w:szCs w:val="24"/>
          <w:rtl/>
          <w:lang w:bidi="ar-DZ"/>
        </w:rPr>
        <w:t>39479.27</w:t>
      </w:r>
      <w:r w:rsidRPr="00E9578B">
        <w:rPr>
          <w:rFonts w:ascii="Traditional Arabic" w:hAnsi="Traditional Arabic" w:cs="Traditional Arabic" w:hint="cs"/>
          <w:sz w:val="28"/>
          <w:szCs w:val="28"/>
          <w:rtl/>
          <w:lang w:bidi="ar-DZ"/>
        </w:rPr>
        <w:t xml:space="preserve"> </w:t>
      </w:r>
      <w:r w:rsidRPr="00E9578B">
        <w:rPr>
          <w:rFonts w:ascii="Traditional Arabic" w:hAnsi="Traditional Arabic" w:cs="Traditional Arabic" w:hint="cs"/>
          <w:sz w:val="32"/>
          <w:szCs w:val="32"/>
          <w:rtl/>
          <w:lang w:bidi="ar-DZ"/>
        </w:rPr>
        <w:t>مليون دولار، وذلك لارتفاع الطلب المحلي على السلع المستو</w:t>
      </w:r>
      <w:r>
        <w:rPr>
          <w:rFonts w:ascii="Traditional Arabic" w:hAnsi="Traditional Arabic" w:cs="Traditional Arabic" w:hint="cs"/>
          <w:sz w:val="32"/>
          <w:szCs w:val="32"/>
          <w:rtl/>
          <w:lang w:bidi="ar-DZ"/>
        </w:rPr>
        <w:t>ردة، ولتغطية احتياجات برنامج الإن</w:t>
      </w:r>
      <w:r w:rsidRPr="00E9578B">
        <w:rPr>
          <w:rFonts w:ascii="Traditional Arabic" w:hAnsi="Traditional Arabic" w:cs="Traditional Arabic" w:hint="cs"/>
          <w:sz w:val="32"/>
          <w:szCs w:val="32"/>
          <w:rtl/>
          <w:lang w:bidi="ar-DZ"/>
        </w:rPr>
        <w:t>عاش</w:t>
      </w:r>
      <w:r>
        <w:rPr>
          <w:rFonts w:ascii="Traditional Arabic" w:hAnsi="Traditional Arabic" w:cs="Traditional Arabic" w:hint="cs"/>
          <w:sz w:val="32"/>
          <w:szCs w:val="32"/>
          <w:rtl/>
          <w:lang w:bidi="ar-DZ"/>
        </w:rPr>
        <w:t xml:space="preserve"> الاقتصاد</w:t>
      </w:r>
      <w:r w:rsidRPr="00E9578B">
        <w:rPr>
          <w:rFonts w:ascii="Traditional Arabic" w:hAnsi="Traditional Arabic" w:cs="Traditional Arabic" w:hint="cs"/>
          <w:sz w:val="32"/>
          <w:szCs w:val="32"/>
          <w:rtl/>
          <w:lang w:bidi="ar-DZ"/>
        </w:rPr>
        <w:t xml:space="preserve">ي التي انطلقت فيه الحكومة الجزائرية عام </w:t>
      </w:r>
      <w:r w:rsidRPr="00E9578B">
        <w:rPr>
          <w:rFonts w:ascii="Traditional Arabic" w:hAnsi="Traditional Arabic" w:cs="Traditional Arabic" w:hint="cs"/>
          <w:sz w:val="24"/>
          <w:szCs w:val="24"/>
          <w:rtl/>
          <w:lang w:bidi="ar-DZ"/>
        </w:rPr>
        <w:t>2001</w:t>
      </w:r>
      <w:r w:rsidRPr="00E9578B">
        <w:rPr>
          <w:rFonts w:ascii="Traditional Arabic" w:hAnsi="Traditional Arabic" w:cs="Traditional Arabic" w:hint="cs"/>
          <w:sz w:val="32"/>
          <w:szCs w:val="32"/>
          <w:rtl/>
          <w:lang w:bidi="ar-DZ"/>
        </w:rPr>
        <w:t xml:space="preserve">، فنسبة معتبرة وجهت لاستيراد التجهيزات الصناعية، في حين نجد أن فاتورة الغذاء تبلغ </w:t>
      </w:r>
      <w:r w:rsidRPr="00E9578B">
        <w:rPr>
          <w:rFonts w:ascii="Traditional Arabic" w:hAnsi="Traditional Arabic" w:cs="Traditional Arabic" w:hint="cs"/>
          <w:sz w:val="24"/>
          <w:szCs w:val="24"/>
          <w:rtl/>
          <w:lang w:bidi="ar-DZ"/>
        </w:rPr>
        <w:t xml:space="preserve">7812.63 </w:t>
      </w:r>
      <w:r w:rsidRPr="00E9578B">
        <w:rPr>
          <w:rFonts w:ascii="Traditional Arabic" w:hAnsi="Traditional Arabic" w:cs="Traditional Arabic" w:hint="cs"/>
          <w:sz w:val="32"/>
          <w:szCs w:val="32"/>
          <w:rtl/>
          <w:lang w:bidi="ar-DZ"/>
        </w:rPr>
        <w:t>مليون دولار، وهذا الوضع تمت محاولة تصحيحه من خلال تخفيض قيمة الدينار لكبح الواردات.</w:t>
      </w:r>
      <w:r>
        <w:rPr>
          <w:rFonts w:ascii="Traditional Arabic" w:hAnsi="Traditional Arabic" w:cs="Traditional Arabic" w:hint="cs"/>
          <w:sz w:val="32"/>
          <w:szCs w:val="32"/>
          <w:rtl/>
          <w:lang w:bidi="ar-DZ"/>
        </w:rPr>
        <w:t xml:space="preserve"> </w:t>
      </w:r>
      <w:r w:rsidRPr="00E9578B">
        <w:rPr>
          <w:rFonts w:ascii="Traditional Arabic" w:hAnsi="Traditional Arabic" w:cs="Traditional Arabic" w:hint="cs"/>
          <w:sz w:val="32"/>
          <w:szCs w:val="32"/>
          <w:rtl/>
          <w:lang w:bidi="ar-DZ"/>
        </w:rPr>
        <w:t xml:space="preserve"> </w:t>
      </w:r>
    </w:p>
    <w:p w:rsidR="00B35CF7" w:rsidRPr="00E9578B" w:rsidRDefault="00FC0739" w:rsidP="00B35CF7">
      <w:pPr>
        <w:tabs>
          <w:tab w:val="right" w:pos="567"/>
          <w:tab w:val="left" w:pos="8505"/>
        </w:tabs>
        <w:bidi/>
        <w:spacing w:after="0"/>
        <w:jc w:val="both"/>
        <w:rPr>
          <w:rFonts w:ascii="Traditional Arabic" w:hAnsi="Traditional Arabic" w:cs="Traditional Arabic"/>
          <w:b/>
          <w:bCs/>
          <w:sz w:val="32"/>
          <w:szCs w:val="32"/>
          <w:rtl/>
          <w:lang w:bidi="ar-DZ"/>
        </w:rPr>
      </w:pPr>
      <w:r w:rsidRPr="00FC0739">
        <w:rPr>
          <w:rFonts w:ascii="Traditional Arabic" w:hAnsi="Traditional Arabic" w:cs="Traditional Arabic" w:hint="cs"/>
          <w:b/>
          <w:bCs/>
          <w:sz w:val="32"/>
          <w:szCs w:val="32"/>
          <w:rtl/>
          <w:lang w:bidi="ar-DZ"/>
        </w:rPr>
        <w:t>المطلب الثاني:</w:t>
      </w:r>
      <w:r w:rsidR="00B35CF7" w:rsidRPr="00FC0739">
        <w:rPr>
          <w:rFonts w:ascii="Traditional Arabic" w:hAnsi="Traditional Arabic" w:cs="Traditional Arabic" w:hint="cs"/>
          <w:b/>
          <w:bCs/>
          <w:sz w:val="32"/>
          <w:szCs w:val="32"/>
          <w:rtl/>
          <w:lang w:bidi="ar-DZ"/>
        </w:rPr>
        <w:t xml:space="preserve"> الآثار</w:t>
      </w:r>
      <w:r w:rsidR="00B35CF7" w:rsidRPr="00E9578B">
        <w:rPr>
          <w:rFonts w:ascii="Traditional Arabic" w:hAnsi="Traditional Arabic" w:cs="Traditional Arabic" w:hint="cs"/>
          <w:b/>
          <w:bCs/>
          <w:sz w:val="32"/>
          <w:szCs w:val="32"/>
          <w:rtl/>
          <w:lang w:bidi="ar-DZ"/>
        </w:rPr>
        <w:t xml:space="preserve"> المالية للأزمة على الاقتصاد الجزائري: </w:t>
      </w:r>
    </w:p>
    <w:p w:rsidR="00B35CF7" w:rsidRPr="00E9578B" w:rsidRDefault="00B35CF7" w:rsidP="00B35CF7">
      <w:pPr>
        <w:bidi/>
        <w:spacing w:after="0"/>
        <w:rPr>
          <w:rFonts w:ascii="Traditional Arabic" w:hAnsi="Traditional Arabic" w:cs="Traditional Arabic"/>
          <w:b/>
          <w:bCs/>
          <w:sz w:val="32"/>
          <w:szCs w:val="32"/>
          <w:lang w:bidi="ar-DZ"/>
        </w:rPr>
      </w:pPr>
      <w:r>
        <w:rPr>
          <w:rFonts w:ascii="Traditional Arabic" w:hAnsi="Traditional Arabic" w:cs="Traditional Arabic" w:hint="cs"/>
          <w:b/>
          <w:bCs/>
          <w:sz w:val="24"/>
          <w:szCs w:val="24"/>
          <w:rtl/>
          <w:lang w:bidi="ar-DZ"/>
        </w:rPr>
        <w:t xml:space="preserve">1- </w:t>
      </w:r>
      <w:r w:rsidRPr="00E9578B">
        <w:rPr>
          <w:rFonts w:ascii="Traditional Arabic" w:hAnsi="Traditional Arabic" w:cs="Traditional Arabic"/>
          <w:b/>
          <w:bCs/>
          <w:sz w:val="32"/>
          <w:szCs w:val="32"/>
          <w:rtl/>
          <w:lang w:bidi="ar-DZ"/>
        </w:rPr>
        <w:t xml:space="preserve">انعكاسات الأزمة المالية على الجهاز المصرفي والمالي الجزائري: </w:t>
      </w:r>
    </w:p>
    <w:p w:rsidR="00B35CF7" w:rsidRPr="00E9578B" w:rsidRDefault="00B35CF7" w:rsidP="00B35CF7">
      <w:pPr>
        <w:tabs>
          <w:tab w:val="right" w:pos="567"/>
        </w:tabs>
        <w:bidi/>
        <w:jc w:val="both"/>
        <w:rPr>
          <w:rFonts w:ascii="Traditional Arabic" w:eastAsia="Times New Roman" w:hAnsi="Traditional Arabic" w:cs="Traditional Arabic"/>
          <w:color w:val="000000"/>
          <w:sz w:val="32"/>
          <w:szCs w:val="32"/>
          <w:rtl/>
        </w:rPr>
      </w:pPr>
      <w:r>
        <w:rPr>
          <w:rFonts w:ascii="Traditional Arabic" w:hAnsi="Traditional Arabic" w:cs="Traditional Arabic" w:hint="cs"/>
          <w:sz w:val="32"/>
          <w:szCs w:val="32"/>
          <w:rtl/>
          <w:lang w:bidi="ar-DZ"/>
        </w:rPr>
        <w:t xml:space="preserve">     </w:t>
      </w:r>
      <w:r w:rsidRPr="00E9578B">
        <w:rPr>
          <w:rFonts w:ascii="Traditional Arabic" w:hAnsi="Traditional Arabic" w:cs="Traditional Arabic" w:hint="cs"/>
          <w:sz w:val="32"/>
          <w:szCs w:val="32"/>
          <w:rtl/>
          <w:lang w:bidi="ar-DZ"/>
        </w:rPr>
        <w:t xml:space="preserve">  يمكن القول أن النظام المالي والمصرفي الجزائري في منآى عن الأزمة المالية العالمية، فالبنوك الجزائرية هي بنوك تجزئة، والقروض المقدمة للأفراد لا تشكل إلا نسبة محدودة لا تتعدى </w:t>
      </w:r>
      <w:r w:rsidRPr="00E9578B">
        <w:rPr>
          <w:rFonts w:ascii="Traditional Arabic" w:hAnsi="Traditional Arabic" w:cs="Traditional Arabic" w:hint="cs"/>
          <w:sz w:val="24"/>
          <w:szCs w:val="24"/>
          <w:rtl/>
          <w:lang w:bidi="ar-DZ"/>
        </w:rPr>
        <w:t>10</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sidRPr="00E9578B">
        <w:rPr>
          <w:rFonts w:ascii="Traditional Arabic" w:hAnsi="Traditional Arabic" w:cs="Traditional Arabic" w:hint="cs"/>
          <w:sz w:val="32"/>
          <w:szCs w:val="32"/>
          <w:rtl/>
          <w:lang w:bidi="ar-DZ"/>
        </w:rPr>
        <w:t xml:space="preserve">من محفظة البنوك الجزائرية، وهي في أغلبها عمومية لا تمارس أعمال المضاربة، وعليه لا </w:t>
      </w:r>
      <w:r w:rsidRPr="00E9578B">
        <w:rPr>
          <w:rFonts w:ascii="Traditional Arabic" w:hAnsi="Traditional Arabic" w:cs="Traditional Arabic"/>
          <w:sz w:val="32"/>
          <w:szCs w:val="32"/>
          <w:rtl/>
        </w:rPr>
        <w:t>يمكن الحديث عن الأزمة في النظام المصرفي في الجزائر حيث سيطرة القطاع العام</w:t>
      </w:r>
      <w:r w:rsidRPr="00E9578B">
        <w:rPr>
          <w:rFonts w:ascii="Traditional Arabic" w:hAnsi="Traditional Arabic" w:cs="Traditional Arabic" w:hint="cs"/>
          <w:sz w:val="32"/>
          <w:szCs w:val="32"/>
          <w:rtl/>
        </w:rPr>
        <w:t xml:space="preserve"> على</w:t>
      </w:r>
      <w:r w:rsidRPr="00E9578B">
        <w:rPr>
          <w:rFonts w:ascii="Traditional Arabic" w:hAnsi="Traditional Arabic" w:cs="Traditional Arabic"/>
          <w:sz w:val="32"/>
          <w:szCs w:val="32"/>
          <w:rtl/>
        </w:rPr>
        <w:t xml:space="preserve"> أكثر من </w:t>
      </w:r>
      <w:r w:rsidRPr="00E9578B">
        <w:rPr>
          <w:rFonts w:ascii="Traditional Arabic" w:hAnsi="Traditional Arabic" w:cs="Traditional Arabic"/>
          <w:sz w:val="24"/>
          <w:szCs w:val="24"/>
          <w:rtl/>
        </w:rPr>
        <w:t xml:space="preserve">90% </w:t>
      </w:r>
      <w:r w:rsidRPr="00E9578B">
        <w:rPr>
          <w:rFonts w:ascii="Traditional Arabic" w:hAnsi="Traditional Arabic" w:cs="Traditional Arabic"/>
          <w:sz w:val="32"/>
          <w:szCs w:val="32"/>
          <w:rtl/>
        </w:rPr>
        <w:t xml:space="preserve">من القروض (القطاع الخاص الوطني والدولي هامشي لا يتجاوز </w:t>
      </w:r>
      <w:r w:rsidRPr="00E9578B">
        <w:rPr>
          <w:rFonts w:ascii="Traditional Arabic" w:hAnsi="Traditional Arabic" w:cs="Traditional Arabic"/>
          <w:sz w:val="24"/>
          <w:szCs w:val="24"/>
          <w:rtl/>
        </w:rPr>
        <w:t>10%</w:t>
      </w:r>
      <w:r w:rsidRPr="00E9578B">
        <w:rPr>
          <w:rFonts w:ascii="Traditional Arabic" w:hAnsi="Traditional Arabic" w:cs="Traditional Arabic"/>
          <w:sz w:val="32"/>
          <w:szCs w:val="32"/>
          <w:rtl/>
        </w:rPr>
        <w:t>)</w:t>
      </w:r>
      <w:r w:rsidRPr="00E9578B">
        <w:rPr>
          <w:rFonts w:ascii="Traditional Arabic" w:hAnsi="Traditional Arabic" w:cs="Traditional Arabic" w:hint="cs"/>
          <w:sz w:val="32"/>
          <w:szCs w:val="32"/>
          <w:rtl/>
        </w:rPr>
        <w:t>،</w:t>
      </w:r>
      <w:r w:rsidRPr="00E9578B">
        <w:rPr>
          <w:rFonts w:ascii="Traditional Arabic" w:eastAsia="Times New Roman" w:hAnsi="Traditional Arabic" w:cs="Traditional Arabic"/>
          <w:sz w:val="32"/>
          <w:szCs w:val="32"/>
          <w:rtl/>
        </w:rPr>
        <w:t xml:space="preserve"> </w:t>
      </w:r>
      <w:r w:rsidRPr="00E9578B">
        <w:rPr>
          <w:rFonts w:ascii="Traditional Arabic" w:eastAsia="Times New Roman" w:hAnsi="Traditional Arabic" w:cs="Traditional Arabic" w:hint="cs"/>
          <w:sz w:val="32"/>
          <w:szCs w:val="32"/>
          <w:rtl/>
        </w:rPr>
        <w:t>ومن تم ف</w:t>
      </w:r>
      <w:r w:rsidRPr="00E9578B">
        <w:rPr>
          <w:rFonts w:ascii="Traditional Arabic" w:eastAsia="Times New Roman" w:hAnsi="Traditional Arabic" w:cs="Traditional Arabic"/>
          <w:sz w:val="32"/>
          <w:szCs w:val="32"/>
          <w:rtl/>
        </w:rPr>
        <w:t>ودائع الأفراد في البنوك الأولية لن تتعرض لأي خطر</w:t>
      </w:r>
      <w:r w:rsidRPr="00E9578B">
        <w:rPr>
          <w:rFonts w:ascii="Traditional Arabic" w:eastAsia="Times New Roman" w:hAnsi="Traditional Arabic" w:cs="Traditional Arabic" w:hint="cs"/>
          <w:sz w:val="32"/>
          <w:szCs w:val="32"/>
          <w:rtl/>
        </w:rPr>
        <w:t xml:space="preserve"> من حيث القيمة الاسمية</w:t>
      </w:r>
      <w:r w:rsidRPr="00E9578B">
        <w:rPr>
          <w:rFonts w:ascii="Traditional Arabic" w:eastAsia="Times New Roman" w:hAnsi="Traditional Arabic" w:cs="Traditional Arabic"/>
          <w:sz w:val="32"/>
          <w:szCs w:val="32"/>
          <w:rtl/>
        </w:rPr>
        <w:t xml:space="preserve">، </w:t>
      </w:r>
      <w:r w:rsidRPr="00E9578B">
        <w:rPr>
          <w:rFonts w:ascii="Traditional Arabic" w:hAnsi="Traditional Arabic" w:cs="Traditional Arabic" w:hint="cs"/>
          <w:sz w:val="32"/>
          <w:szCs w:val="32"/>
          <w:rtl/>
          <w:lang w:bidi="ar-DZ"/>
        </w:rPr>
        <w:t xml:space="preserve">ومن ناحية ثانية نجد عدم قابلية الدينار الجزائري للتحويل. كما أن تسديد المديونية الخارجية والتي هي حوالي </w:t>
      </w:r>
      <w:r w:rsidRPr="00E9578B">
        <w:rPr>
          <w:rFonts w:ascii="Traditional Arabic" w:hAnsi="Traditional Arabic" w:cs="Traditional Arabic" w:hint="cs"/>
          <w:sz w:val="24"/>
          <w:szCs w:val="24"/>
          <w:rtl/>
          <w:lang w:bidi="ar-DZ"/>
        </w:rPr>
        <w:t xml:space="preserve">4.9 </w:t>
      </w:r>
      <w:r w:rsidRPr="00E9578B">
        <w:rPr>
          <w:rFonts w:ascii="Traditional Arabic" w:hAnsi="Traditional Arabic" w:cs="Traditional Arabic" w:hint="cs"/>
          <w:sz w:val="32"/>
          <w:szCs w:val="32"/>
          <w:rtl/>
          <w:lang w:bidi="ar-DZ"/>
        </w:rPr>
        <w:t xml:space="preserve">مليار دولار في أواخر عام </w:t>
      </w:r>
      <w:r w:rsidRPr="00E9578B">
        <w:rPr>
          <w:rFonts w:ascii="Traditional Arabic" w:hAnsi="Traditional Arabic" w:cs="Traditional Arabic" w:hint="cs"/>
          <w:sz w:val="24"/>
          <w:szCs w:val="24"/>
          <w:rtl/>
          <w:lang w:bidi="ar-DZ"/>
        </w:rPr>
        <w:t xml:space="preserve">2008 </w:t>
      </w:r>
      <w:r w:rsidRPr="00E9578B">
        <w:rPr>
          <w:rFonts w:ascii="Traditional Arabic" w:hAnsi="Traditional Arabic" w:cs="Traditional Arabic" w:hint="cs"/>
          <w:sz w:val="32"/>
          <w:szCs w:val="32"/>
          <w:rtl/>
          <w:lang w:bidi="ar-DZ"/>
        </w:rPr>
        <w:t xml:space="preserve">تسمح بتجنب قروض بأسعار فائدة مرتفعة نظرا لتقييد الائتمان في جميع أنحاء العالم، ومن جهة أخرى نسجل أن حوالي </w:t>
      </w:r>
      <w:r w:rsidRPr="00E9578B">
        <w:rPr>
          <w:rFonts w:ascii="Traditional Arabic" w:hAnsi="Traditional Arabic" w:cs="Traditional Arabic" w:hint="cs"/>
          <w:sz w:val="24"/>
          <w:szCs w:val="24"/>
          <w:rtl/>
          <w:lang w:bidi="ar-DZ"/>
        </w:rPr>
        <w:t>40</w:t>
      </w:r>
      <w:r w:rsidRPr="00E9578B">
        <w:rPr>
          <w:rFonts w:ascii="Traditional Arabic" w:hAnsi="Traditional Arabic" w:cs="Traditional Arabic"/>
          <w:sz w:val="24"/>
          <w:szCs w:val="24"/>
          <w:rtl/>
          <w:lang w:bidi="ar-DZ"/>
        </w:rPr>
        <w:t>%</w:t>
      </w:r>
      <w:r w:rsidRPr="00E9578B">
        <w:rPr>
          <w:rFonts w:ascii="Traditional Arabic" w:hAnsi="Traditional Arabic" w:cs="Traditional Arabic" w:hint="cs"/>
          <w:sz w:val="24"/>
          <w:szCs w:val="24"/>
          <w:rtl/>
          <w:lang w:bidi="ar-DZ"/>
        </w:rPr>
        <w:t xml:space="preserve"> </w:t>
      </w:r>
      <w:r w:rsidRPr="00E9578B">
        <w:rPr>
          <w:rFonts w:ascii="Traditional Arabic" w:hAnsi="Traditional Arabic" w:cs="Traditional Arabic" w:hint="cs"/>
          <w:sz w:val="32"/>
          <w:szCs w:val="32"/>
          <w:rtl/>
          <w:lang w:bidi="ar-DZ"/>
        </w:rPr>
        <w:t xml:space="preserve">من الكتلة النقدية المتداولة تسيطر عليها قنوات الاقتصاد غير </w:t>
      </w:r>
      <w:r w:rsidRPr="00E9578B">
        <w:rPr>
          <w:rFonts w:ascii="Traditional Arabic" w:hAnsi="Traditional Arabic" w:cs="Traditional Arabic" w:hint="cs"/>
          <w:sz w:val="32"/>
          <w:szCs w:val="32"/>
          <w:rtl/>
          <w:lang w:bidi="ar-DZ"/>
        </w:rPr>
        <w:lastRenderedPageBreak/>
        <w:t xml:space="preserve">الرسمي ولا تدخل البنوك وبالتالي فهي لن تتأثر بالأزمة المالية العالمية. كما أنه لا يوجد </w:t>
      </w:r>
      <w:r w:rsidRPr="00E9578B">
        <w:rPr>
          <w:rFonts w:ascii="Traditional Arabic" w:eastAsia="Times New Roman" w:hAnsi="Traditional Arabic" w:cs="Traditional Arabic"/>
          <w:color w:val="000000"/>
          <w:sz w:val="32"/>
          <w:szCs w:val="32"/>
          <w:rtl/>
        </w:rPr>
        <w:t>لدينا سوق مالية حديثة مع بورصة متطورة</w:t>
      </w:r>
      <w:r w:rsidRPr="00E9578B">
        <w:rPr>
          <w:rFonts w:ascii="Traditional Arabic" w:eastAsia="Times New Roman" w:hAnsi="Traditional Arabic" w:cs="Traditional Arabic" w:hint="cs"/>
          <w:color w:val="000000"/>
          <w:sz w:val="32"/>
          <w:szCs w:val="32"/>
          <w:rtl/>
        </w:rPr>
        <w:t>، ولكن بورصة تابعة للدولة، تتكون من مؤسسات عمومية عاجزة، تشتري مؤسسات مفلسة من أموال الخزينة العمومية</w:t>
      </w:r>
      <w:r w:rsidRPr="00E9578B">
        <w:rPr>
          <w:rStyle w:val="Appelnotedebasdep"/>
          <w:rFonts w:ascii="Traditional Arabic" w:hAnsi="Traditional Arabic" w:cs="Traditional Arabic"/>
          <w:sz w:val="32"/>
          <w:szCs w:val="32"/>
          <w:rtl/>
          <w:lang w:bidi="ar-DZ"/>
        </w:rPr>
        <w:footnoteReference w:id="46"/>
      </w:r>
      <w:r w:rsidRPr="00E9578B">
        <w:rPr>
          <w:rFonts w:ascii="Traditional Arabic" w:eastAsia="Times New Roman" w:hAnsi="Traditional Arabic" w:cs="Traditional Arabic" w:hint="cs"/>
          <w:color w:val="000000"/>
          <w:sz w:val="32"/>
          <w:szCs w:val="32"/>
          <w:rtl/>
        </w:rPr>
        <w:t xml:space="preserve">.   </w:t>
      </w:r>
    </w:p>
    <w:p w:rsidR="00B35CF7" w:rsidRPr="00E9578B" w:rsidRDefault="00B35CF7" w:rsidP="00B35CF7">
      <w:pPr>
        <w:bidi/>
        <w:spacing w:after="0"/>
        <w:rPr>
          <w:rFonts w:ascii="Traditional Arabic" w:hAnsi="Traditional Arabic" w:cs="Traditional Arabic"/>
          <w:b/>
          <w:bCs/>
          <w:sz w:val="32"/>
          <w:szCs w:val="32"/>
          <w:rtl/>
          <w:lang w:bidi="ar-DZ"/>
        </w:rPr>
      </w:pPr>
      <w:r w:rsidRPr="00D31670">
        <w:rPr>
          <w:rFonts w:ascii="Traditional Arabic" w:hAnsi="Traditional Arabic" w:cs="Traditional Arabic" w:hint="cs"/>
          <w:b/>
          <w:bCs/>
          <w:sz w:val="24"/>
          <w:szCs w:val="24"/>
          <w:rtl/>
          <w:lang w:bidi="ar-DZ"/>
        </w:rPr>
        <w:t xml:space="preserve">2- </w:t>
      </w:r>
      <w:r w:rsidRPr="00E9578B">
        <w:rPr>
          <w:rFonts w:ascii="Traditional Arabic" w:hAnsi="Traditional Arabic" w:cs="Traditional Arabic"/>
          <w:b/>
          <w:bCs/>
          <w:sz w:val="32"/>
          <w:szCs w:val="32"/>
          <w:rtl/>
          <w:lang w:bidi="ar-DZ"/>
        </w:rPr>
        <w:t xml:space="preserve">انعكاسات الأزمة المالية على احتياطات الصرف الجزائرية: </w:t>
      </w:r>
      <w:r w:rsidRPr="00E9578B">
        <w:rPr>
          <w:rFonts w:ascii="Traditional Arabic" w:hAnsi="Traditional Arabic" w:cs="Traditional Arabic" w:hint="cs"/>
          <w:b/>
          <w:bCs/>
          <w:sz w:val="32"/>
          <w:szCs w:val="32"/>
          <w:rtl/>
          <w:lang w:bidi="ar-DZ"/>
        </w:rPr>
        <w:t xml:space="preserve"> </w:t>
      </w:r>
    </w:p>
    <w:p w:rsidR="00B35CF7" w:rsidRPr="00E9578B" w:rsidRDefault="00B35CF7" w:rsidP="0063358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E9578B">
        <w:rPr>
          <w:rFonts w:ascii="Traditional Arabic" w:hAnsi="Traditional Arabic" w:cs="Traditional Arabic" w:hint="cs"/>
          <w:b/>
          <w:bCs/>
          <w:sz w:val="32"/>
          <w:szCs w:val="32"/>
          <w:rtl/>
          <w:lang w:bidi="ar-DZ"/>
        </w:rPr>
        <w:t xml:space="preserve"> </w:t>
      </w:r>
      <w:r w:rsidRPr="00E9578B">
        <w:rPr>
          <w:rFonts w:ascii="Traditional Arabic" w:hAnsi="Traditional Arabic" w:cs="Traditional Arabic" w:hint="cs"/>
          <w:sz w:val="32"/>
          <w:szCs w:val="32"/>
          <w:rtl/>
          <w:lang w:bidi="ar-DZ"/>
        </w:rPr>
        <w:t>تأتي احتياطات الصرف الدولية من إيرادات الصادرات المختلفة إل</w:t>
      </w:r>
      <w:r>
        <w:rPr>
          <w:rFonts w:ascii="Traditional Arabic" w:hAnsi="Traditional Arabic" w:cs="Traditional Arabic" w:hint="cs"/>
          <w:sz w:val="32"/>
          <w:szCs w:val="32"/>
          <w:rtl/>
          <w:lang w:bidi="ar-DZ"/>
        </w:rPr>
        <w:t>ى جانب القروض المحصلة من الخارج،</w:t>
      </w:r>
      <w:r w:rsidRPr="00E9578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كما </w:t>
      </w:r>
      <w:r w:rsidRPr="00E9578B">
        <w:rPr>
          <w:rFonts w:ascii="Traditional Arabic" w:hAnsi="Traditional Arabic" w:cs="Traditional Arabic" w:hint="cs"/>
          <w:sz w:val="32"/>
          <w:szCs w:val="32"/>
          <w:rtl/>
          <w:lang w:bidi="ar-DZ"/>
        </w:rPr>
        <w:t>تسمح بمواجهة الصدمات الخارجية وطمأنة مديني البلد وكذا الحث على الاستثمار داخل البلد، حماية العملة المحلية وتمويل عجز ميزان المدفوعات</w:t>
      </w:r>
      <w:r>
        <w:rPr>
          <w:rFonts w:ascii="Traditional Arabic" w:hAnsi="Traditional Arabic" w:cs="Traditional Arabic" w:hint="cs"/>
          <w:sz w:val="32"/>
          <w:szCs w:val="32"/>
          <w:rtl/>
          <w:lang w:bidi="ar-DZ"/>
        </w:rPr>
        <w:t>،</w:t>
      </w:r>
      <w:r w:rsidRPr="00E9578B">
        <w:rPr>
          <w:rFonts w:ascii="Traditional Arabic" w:hAnsi="Traditional Arabic" w:cs="Traditional Arabic" w:hint="cs"/>
          <w:sz w:val="32"/>
          <w:szCs w:val="32"/>
          <w:rtl/>
          <w:lang w:bidi="ar-DZ"/>
        </w:rPr>
        <w:t xml:space="preserve"> وهي تستعمل في تمويل التنمية الداخلية. كما يمكن لاحتياطات البلد من العملة الصعبة أن توظف بالخارج عندما يكون المردود المتوقع </w:t>
      </w:r>
      <w:r>
        <w:rPr>
          <w:rFonts w:ascii="Traditional Arabic" w:hAnsi="Traditional Arabic" w:cs="Traditional Arabic" w:hint="cs"/>
          <w:sz w:val="32"/>
          <w:szCs w:val="32"/>
          <w:rtl/>
          <w:lang w:bidi="ar-DZ"/>
        </w:rPr>
        <w:t>أكبر من المردود المتوقع من الاستثمار الداخلي،</w:t>
      </w:r>
      <w:r w:rsidRPr="00E9578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w:t>
      </w:r>
      <w:r w:rsidRPr="00E9578B">
        <w:rPr>
          <w:rFonts w:ascii="Traditional Arabic" w:hAnsi="Traditional Arabic" w:cs="Traditional Arabic" w:hint="cs"/>
          <w:sz w:val="32"/>
          <w:szCs w:val="32"/>
          <w:rtl/>
          <w:lang w:bidi="ar-DZ"/>
        </w:rPr>
        <w:t xml:space="preserve">في هذا الإطار نجد أن ضعف طاقة الامتصاص داخل الجزائر يدفع بهذه الأخيرة إلى توظيف أموالها بالخارج.  </w:t>
      </w:r>
    </w:p>
    <w:p w:rsidR="00FF3274" w:rsidRDefault="00B35CF7" w:rsidP="00303A88">
      <w:pPr>
        <w:tabs>
          <w:tab w:val="right" w:pos="567"/>
        </w:tabs>
        <w:bidi/>
        <w:jc w:val="both"/>
        <w:rPr>
          <w:rFonts w:ascii="Traditional Arabic" w:eastAsia="Times New Roman" w:hAnsi="Traditional Arabic" w:cs="Traditional Arabic"/>
          <w:sz w:val="32"/>
          <w:szCs w:val="32"/>
          <w:rtl/>
        </w:rPr>
      </w:pPr>
      <w:r>
        <w:rPr>
          <w:rFonts w:ascii="Traditional Arabic" w:hAnsi="Traditional Arabic" w:cs="Traditional Arabic" w:hint="cs"/>
          <w:b/>
          <w:bCs/>
          <w:sz w:val="32"/>
          <w:szCs w:val="32"/>
          <w:rtl/>
          <w:lang w:bidi="ar-DZ"/>
        </w:rPr>
        <w:t xml:space="preserve">      </w:t>
      </w:r>
      <w:r w:rsidRPr="00E9578B">
        <w:rPr>
          <w:rFonts w:ascii="Traditional Arabic" w:hAnsi="Traditional Arabic" w:cs="Traditional Arabic" w:hint="cs"/>
          <w:b/>
          <w:bCs/>
          <w:sz w:val="32"/>
          <w:szCs w:val="32"/>
          <w:rtl/>
          <w:lang w:bidi="ar-DZ"/>
        </w:rPr>
        <w:t xml:space="preserve"> </w:t>
      </w:r>
      <w:r w:rsidRPr="00185A99">
        <w:rPr>
          <w:rFonts w:ascii="Traditional Arabic" w:hAnsi="Traditional Arabic" w:cs="Traditional Arabic" w:hint="cs"/>
          <w:sz w:val="32"/>
          <w:szCs w:val="32"/>
          <w:rtl/>
          <w:lang w:bidi="ar-DZ"/>
        </w:rPr>
        <w:t>و</w:t>
      </w:r>
      <w:r>
        <w:rPr>
          <w:rFonts w:ascii="Traditional Arabic" w:hAnsi="Traditional Arabic" w:cs="Traditional Arabic" w:hint="cs"/>
          <w:sz w:val="32"/>
          <w:szCs w:val="32"/>
          <w:rtl/>
          <w:lang w:bidi="ar-DZ"/>
        </w:rPr>
        <w:t xml:space="preserve">قد </w:t>
      </w:r>
      <w:r w:rsidRPr="00185A99">
        <w:rPr>
          <w:rFonts w:ascii="Traditional Arabic" w:hAnsi="Traditional Arabic" w:cs="Traditional Arabic" w:hint="cs"/>
          <w:sz w:val="32"/>
          <w:szCs w:val="32"/>
          <w:rtl/>
          <w:lang w:bidi="ar-DZ"/>
        </w:rPr>
        <w:t>اعتبر</w:t>
      </w:r>
      <w:r w:rsidRPr="00E9578B">
        <w:rPr>
          <w:rFonts w:ascii="Traditional Arabic" w:hAnsi="Traditional Arabic" w:cs="Traditional Arabic" w:hint="cs"/>
          <w:sz w:val="32"/>
          <w:szCs w:val="32"/>
          <w:rtl/>
          <w:lang w:bidi="ar-DZ"/>
        </w:rPr>
        <w:t xml:space="preserve"> محافظ بنك الجزائر السيد محمد لكصاسي أن الجزائر تمكنت من الحفاظ على توازناتها المالية</w:t>
      </w:r>
      <w:r w:rsidR="000A6596">
        <w:rPr>
          <w:rFonts w:ascii="Traditional Arabic" w:hAnsi="Traditional Arabic" w:cs="Traditional Arabic" w:hint="cs"/>
          <w:sz w:val="32"/>
          <w:szCs w:val="32"/>
          <w:rtl/>
          <w:lang w:bidi="ar-DZ"/>
        </w:rPr>
        <w:t xml:space="preserve">، </w:t>
      </w:r>
      <w:r w:rsidRPr="00E9578B">
        <w:rPr>
          <w:rFonts w:ascii="Traditional Arabic" w:hAnsi="Traditional Arabic" w:cs="Traditional Arabic" w:hint="cs"/>
          <w:sz w:val="32"/>
          <w:szCs w:val="32"/>
          <w:rtl/>
          <w:lang w:bidi="ar-DZ"/>
        </w:rPr>
        <w:t xml:space="preserve"> خاصة وأن </w:t>
      </w:r>
      <w:r w:rsidRPr="00E9578B">
        <w:rPr>
          <w:rFonts w:ascii="Traditional Arabic" w:hAnsi="Traditional Arabic" w:cs="Traditional Arabic"/>
          <w:sz w:val="32"/>
          <w:szCs w:val="32"/>
          <w:rtl/>
          <w:lang w:bidi="ar-DZ"/>
        </w:rPr>
        <w:t xml:space="preserve">احتياطي الصرف بلغ إلى غاية نهاية شهر جوان </w:t>
      </w:r>
      <w:r w:rsidRPr="00E9578B">
        <w:rPr>
          <w:rFonts w:ascii="Traditional Arabic" w:hAnsi="Traditional Arabic" w:cs="Traditional Arabic" w:hint="cs"/>
          <w:sz w:val="24"/>
          <w:szCs w:val="24"/>
          <w:rtl/>
          <w:lang w:bidi="ar-DZ"/>
        </w:rPr>
        <w:t>2009</w:t>
      </w:r>
      <w:r w:rsidRPr="00E9578B">
        <w:rPr>
          <w:rFonts w:ascii="Traditional Arabic" w:hAnsi="Traditional Arabic" w:cs="Traditional Arabic"/>
          <w:sz w:val="24"/>
          <w:szCs w:val="24"/>
          <w:rtl/>
          <w:lang w:bidi="ar-DZ"/>
        </w:rPr>
        <w:t xml:space="preserve"> </w:t>
      </w:r>
      <w:r w:rsidRPr="00E9578B">
        <w:rPr>
          <w:rFonts w:ascii="Traditional Arabic" w:hAnsi="Traditional Arabic" w:cs="Traditional Arabic"/>
          <w:sz w:val="32"/>
          <w:szCs w:val="32"/>
          <w:rtl/>
          <w:lang w:bidi="ar-DZ"/>
        </w:rPr>
        <w:t xml:space="preserve">حوالي </w:t>
      </w:r>
      <w:r w:rsidRPr="00E9578B">
        <w:rPr>
          <w:rFonts w:ascii="Traditional Arabic" w:hAnsi="Traditional Arabic" w:cs="Traditional Arabic"/>
          <w:sz w:val="24"/>
          <w:szCs w:val="24"/>
          <w:rtl/>
          <w:lang w:bidi="ar-DZ"/>
        </w:rPr>
        <w:t xml:space="preserve">144.3 </w:t>
      </w:r>
      <w:r w:rsidRPr="00E9578B">
        <w:rPr>
          <w:rFonts w:ascii="Traditional Arabic" w:hAnsi="Traditional Arabic" w:cs="Traditional Arabic"/>
          <w:sz w:val="32"/>
          <w:szCs w:val="32"/>
          <w:rtl/>
          <w:lang w:bidi="ar-DZ"/>
        </w:rPr>
        <w:t xml:space="preserve">مليار دولار مقابل </w:t>
      </w:r>
      <w:r w:rsidRPr="00E9578B">
        <w:rPr>
          <w:rFonts w:ascii="Traditional Arabic" w:hAnsi="Traditional Arabic" w:cs="Traditional Arabic"/>
          <w:sz w:val="24"/>
          <w:szCs w:val="24"/>
          <w:rtl/>
          <w:lang w:bidi="ar-DZ"/>
        </w:rPr>
        <w:t xml:space="preserve">143 </w:t>
      </w:r>
      <w:r w:rsidRPr="00E9578B">
        <w:rPr>
          <w:rFonts w:ascii="Traditional Arabic" w:hAnsi="Traditional Arabic" w:cs="Traditional Arabic"/>
          <w:sz w:val="32"/>
          <w:szCs w:val="32"/>
          <w:rtl/>
          <w:lang w:bidi="ar-DZ"/>
        </w:rPr>
        <w:t xml:space="preserve">مليار دولار خلال نفس الفترة من عام </w:t>
      </w:r>
      <w:r w:rsidR="00B0391B">
        <w:rPr>
          <w:rFonts w:ascii="Traditional Arabic" w:hAnsi="Traditional Arabic" w:cs="Traditional Arabic"/>
          <w:sz w:val="24"/>
          <w:szCs w:val="24"/>
          <w:rtl/>
          <w:lang w:bidi="ar-DZ"/>
        </w:rPr>
        <w:t>2008</w:t>
      </w:r>
      <w:r w:rsidR="00B0391B" w:rsidRPr="00B0391B">
        <w:rPr>
          <w:rFonts w:ascii="Traditional Arabic" w:hAnsi="Traditional Arabic" w:cs="Traditional Arabic" w:hint="cs"/>
          <w:sz w:val="32"/>
          <w:szCs w:val="32"/>
          <w:rtl/>
          <w:lang w:bidi="ar-DZ"/>
        </w:rPr>
        <w:t>،</w:t>
      </w:r>
      <w:r w:rsidR="00B0391B">
        <w:rPr>
          <w:rFonts w:ascii="Traditional Arabic" w:hAnsi="Traditional Arabic" w:cs="Traditional Arabic" w:hint="cs"/>
          <w:sz w:val="24"/>
          <w:szCs w:val="24"/>
          <w:rtl/>
          <w:lang w:bidi="ar-DZ"/>
        </w:rPr>
        <w:t xml:space="preserve"> </w:t>
      </w:r>
      <w:r>
        <w:rPr>
          <w:rFonts w:ascii="Traditional Arabic" w:hAnsi="Traditional Arabic" w:cs="Traditional Arabic"/>
          <w:sz w:val="32"/>
          <w:szCs w:val="32"/>
          <w:rtl/>
          <w:lang w:bidi="ar-DZ"/>
        </w:rPr>
        <w:t>لي</w:t>
      </w:r>
      <w:r w:rsidRPr="00E9578B">
        <w:rPr>
          <w:rFonts w:ascii="Traditional Arabic" w:hAnsi="Traditional Arabic" w:cs="Traditional Arabic"/>
          <w:sz w:val="32"/>
          <w:szCs w:val="32"/>
          <w:rtl/>
          <w:lang w:bidi="ar-DZ"/>
        </w:rPr>
        <w:t>أكد بذلك استقرار الوضع المالي رغم تفاقم الأزمة المالية العالمية</w:t>
      </w:r>
      <w:r w:rsidRPr="00E9578B">
        <w:rPr>
          <w:rStyle w:val="Appelnotedebasdep"/>
          <w:rFonts w:ascii="Traditional Arabic" w:hAnsi="Traditional Arabic" w:cs="Traditional Arabic"/>
          <w:sz w:val="32"/>
          <w:szCs w:val="32"/>
          <w:rtl/>
          <w:lang w:bidi="ar-DZ"/>
        </w:rPr>
        <w:footnoteReference w:id="47"/>
      </w:r>
      <w:r w:rsidRPr="00E9578B">
        <w:rPr>
          <w:rFonts w:ascii="Traditional Arabic" w:hAnsi="Traditional Arabic" w:cs="Traditional Arabic" w:hint="cs"/>
          <w:sz w:val="32"/>
          <w:szCs w:val="32"/>
          <w:rtl/>
          <w:lang w:bidi="ar-DZ"/>
        </w:rPr>
        <w:t xml:space="preserve">، علما أنها كانت </w:t>
      </w:r>
      <w:r w:rsidRPr="00E9578B">
        <w:rPr>
          <w:rFonts w:ascii="Traditional Arabic" w:eastAsia="Times New Roman" w:hAnsi="Traditional Arabic" w:cs="Traditional Arabic" w:hint="cs"/>
          <w:sz w:val="32"/>
          <w:szCs w:val="32"/>
          <w:rtl/>
        </w:rPr>
        <w:t>حوالي</w:t>
      </w:r>
      <w:r w:rsidRPr="00E9578B">
        <w:rPr>
          <w:rFonts w:ascii="Traditional Arabic" w:eastAsia="Times New Roman" w:hAnsi="Traditional Arabic" w:cs="Traditional Arabic"/>
          <w:sz w:val="32"/>
          <w:szCs w:val="32"/>
          <w:rtl/>
        </w:rPr>
        <w:t xml:space="preserve"> </w:t>
      </w:r>
      <w:r w:rsidRPr="00E9578B">
        <w:rPr>
          <w:rFonts w:ascii="Traditional Arabic" w:eastAsia="Times New Roman" w:hAnsi="Traditional Arabic" w:cs="Traditional Arabic"/>
          <w:sz w:val="24"/>
          <w:szCs w:val="24"/>
          <w:rtl/>
        </w:rPr>
        <w:t>4</w:t>
      </w:r>
      <w:r w:rsidRPr="00E9578B">
        <w:rPr>
          <w:rFonts w:ascii="Traditional Arabic" w:eastAsia="Times New Roman" w:hAnsi="Traditional Arabic" w:cs="Traditional Arabic"/>
          <w:sz w:val="32"/>
          <w:szCs w:val="32"/>
          <w:rtl/>
        </w:rPr>
        <w:t xml:space="preserve"> مليارات دولار أمريكي في عام </w:t>
      </w:r>
      <w:r w:rsidRPr="00E9578B">
        <w:rPr>
          <w:rFonts w:ascii="Traditional Arabic" w:eastAsia="Times New Roman" w:hAnsi="Traditional Arabic" w:cs="Traditional Arabic"/>
          <w:sz w:val="24"/>
          <w:szCs w:val="24"/>
          <w:rtl/>
        </w:rPr>
        <w:t>1999</w:t>
      </w:r>
      <w:r w:rsidRPr="00E9578B">
        <w:rPr>
          <w:rFonts w:ascii="Traditional Arabic" w:eastAsia="Times New Roman" w:hAnsi="Traditional Arabic" w:cs="Traditional Arabic" w:hint="cs"/>
          <w:sz w:val="24"/>
          <w:szCs w:val="24"/>
          <w:rtl/>
        </w:rPr>
        <w:t>،</w:t>
      </w:r>
      <w:r w:rsidRPr="00E9578B">
        <w:rPr>
          <w:rFonts w:ascii="Traditional Arabic" w:eastAsia="Times New Roman" w:hAnsi="Traditional Arabic" w:cs="Traditional Arabic"/>
          <w:sz w:val="24"/>
          <w:szCs w:val="24"/>
          <w:rtl/>
        </w:rPr>
        <w:t xml:space="preserve"> 56.18 </w:t>
      </w:r>
      <w:r w:rsidRPr="00E9578B">
        <w:rPr>
          <w:rFonts w:ascii="Traditional Arabic" w:eastAsia="Times New Roman" w:hAnsi="Traditional Arabic" w:cs="Traditional Arabic"/>
          <w:sz w:val="32"/>
          <w:szCs w:val="32"/>
          <w:rtl/>
        </w:rPr>
        <w:t xml:space="preserve">في عام </w:t>
      </w:r>
      <w:r w:rsidRPr="00E9578B">
        <w:rPr>
          <w:rFonts w:ascii="Traditional Arabic" w:eastAsia="Times New Roman" w:hAnsi="Traditional Arabic" w:cs="Traditional Arabic"/>
          <w:sz w:val="24"/>
          <w:szCs w:val="24"/>
          <w:rtl/>
        </w:rPr>
        <w:t>2005</w:t>
      </w:r>
      <w:r w:rsidRPr="00E9578B">
        <w:rPr>
          <w:rFonts w:ascii="Traditional Arabic" w:eastAsia="Times New Roman" w:hAnsi="Traditional Arabic" w:cs="Traditional Arabic"/>
          <w:sz w:val="32"/>
          <w:szCs w:val="32"/>
          <w:rtl/>
        </w:rPr>
        <w:t xml:space="preserve">، </w:t>
      </w:r>
      <w:r w:rsidRPr="00E9578B">
        <w:rPr>
          <w:rFonts w:ascii="Traditional Arabic" w:eastAsia="Times New Roman" w:hAnsi="Traditional Arabic" w:cs="Traditional Arabic"/>
          <w:sz w:val="24"/>
          <w:szCs w:val="24"/>
          <w:rtl/>
        </w:rPr>
        <w:t xml:space="preserve">77.78 </w:t>
      </w:r>
      <w:r w:rsidRPr="00E9578B">
        <w:rPr>
          <w:rFonts w:ascii="Traditional Arabic" w:eastAsia="Times New Roman" w:hAnsi="Traditional Arabic" w:cs="Traditional Arabic"/>
          <w:sz w:val="32"/>
          <w:szCs w:val="32"/>
          <w:rtl/>
        </w:rPr>
        <w:t>مليار دولار في</w:t>
      </w:r>
      <w:r w:rsidRPr="00E9578B">
        <w:rPr>
          <w:rFonts w:ascii="Traditional Arabic" w:eastAsia="Times New Roman" w:hAnsi="Traditional Arabic" w:cs="Traditional Arabic" w:hint="cs"/>
          <w:sz w:val="32"/>
          <w:szCs w:val="32"/>
          <w:rtl/>
        </w:rPr>
        <w:t xml:space="preserve"> نهاية</w:t>
      </w:r>
      <w:r w:rsidRPr="00E9578B">
        <w:rPr>
          <w:rFonts w:ascii="Traditional Arabic" w:eastAsia="Times New Roman" w:hAnsi="Traditional Arabic" w:cs="Traditional Arabic"/>
          <w:sz w:val="32"/>
          <w:szCs w:val="32"/>
          <w:rtl/>
        </w:rPr>
        <w:t xml:space="preserve"> ديسمبر </w:t>
      </w:r>
      <w:r w:rsidRPr="00E9578B">
        <w:rPr>
          <w:rFonts w:ascii="Traditional Arabic" w:eastAsia="Times New Roman" w:hAnsi="Traditional Arabic" w:cs="Traditional Arabic"/>
          <w:sz w:val="24"/>
          <w:szCs w:val="24"/>
          <w:rtl/>
        </w:rPr>
        <w:t>2006</w:t>
      </w:r>
      <w:r w:rsidRPr="00E9578B">
        <w:rPr>
          <w:rFonts w:ascii="Traditional Arabic" w:eastAsia="Times New Roman" w:hAnsi="Traditional Arabic" w:cs="Traditional Arabic"/>
          <w:sz w:val="32"/>
          <w:szCs w:val="32"/>
          <w:rtl/>
        </w:rPr>
        <w:t xml:space="preserve">، وأكثر من </w:t>
      </w:r>
      <w:r w:rsidRPr="00E9578B">
        <w:rPr>
          <w:rFonts w:ascii="Traditional Arabic" w:eastAsia="Times New Roman" w:hAnsi="Traditional Arabic" w:cs="Traditional Arabic"/>
          <w:sz w:val="24"/>
          <w:szCs w:val="24"/>
          <w:rtl/>
        </w:rPr>
        <w:t xml:space="preserve">110 </w:t>
      </w:r>
      <w:r w:rsidRPr="00E9578B">
        <w:rPr>
          <w:rFonts w:ascii="Traditional Arabic" w:eastAsia="Times New Roman" w:hAnsi="Traditional Arabic" w:cs="Traditional Arabic"/>
          <w:sz w:val="32"/>
          <w:szCs w:val="32"/>
          <w:rtl/>
        </w:rPr>
        <w:t xml:space="preserve">مليار </w:t>
      </w:r>
      <w:r w:rsidR="007A1221">
        <w:rPr>
          <w:rFonts w:ascii="Traditional Arabic" w:eastAsia="Times New Roman" w:hAnsi="Traditional Arabic" w:cs="Traditional Arabic" w:hint="cs"/>
          <w:sz w:val="32"/>
          <w:szCs w:val="32"/>
          <w:rtl/>
        </w:rPr>
        <w:t xml:space="preserve">دولار </w:t>
      </w:r>
      <w:r w:rsidRPr="00E9578B">
        <w:rPr>
          <w:rFonts w:ascii="Traditional Arabic" w:eastAsia="Times New Roman" w:hAnsi="Traditional Arabic" w:cs="Traditional Arabic"/>
          <w:sz w:val="32"/>
          <w:szCs w:val="32"/>
          <w:rtl/>
        </w:rPr>
        <w:t>في نهاية</w:t>
      </w:r>
      <w:r w:rsidRPr="00E9578B">
        <w:rPr>
          <w:rFonts w:ascii="Traditional Arabic" w:eastAsia="Times New Roman" w:hAnsi="Traditional Arabic" w:cs="Traditional Arabic" w:hint="cs"/>
          <w:sz w:val="32"/>
          <w:szCs w:val="32"/>
          <w:rtl/>
        </w:rPr>
        <w:t xml:space="preserve"> ديسمبر</w:t>
      </w:r>
      <w:r w:rsidRPr="00E9578B">
        <w:rPr>
          <w:rFonts w:ascii="Traditional Arabic" w:eastAsia="Times New Roman" w:hAnsi="Traditional Arabic" w:cs="Traditional Arabic"/>
          <w:sz w:val="32"/>
          <w:szCs w:val="32"/>
          <w:rtl/>
        </w:rPr>
        <w:t xml:space="preserve"> </w:t>
      </w:r>
      <w:r w:rsidRPr="00E9578B">
        <w:rPr>
          <w:rFonts w:ascii="Traditional Arabic" w:eastAsia="Times New Roman" w:hAnsi="Traditional Arabic" w:cs="Traditional Arabic"/>
          <w:sz w:val="24"/>
          <w:szCs w:val="24"/>
          <w:rtl/>
        </w:rPr>
        <w:t>200</w:t>
      </w:r>
      <w:r w:rsidRPr="00E9578B">
        <w:rPr>
          <w:rFonts w:ascii="Traditional Arabic" w:eastAsia="Times New Roman" w:hAnsi="Traditional Arabic" w:cs="Traditional Arabic" w:hint="cs"/>
          <w:sz w:val="24"/>
          <w:szCs w:val="24"/>
          <w:rtl/>
        </w:rPr>
        <w:t>7</w:t>
      </w:r>
      <w:r w:rsidRPr="00E9578B">
        <w:rPr>
          <w:rStyle w:val="Appelnotedebasdep"/>
          <w:rFonts w:ascii="Traditional Arabic" w:eastAsia="Times New Roman" w:hAnsi="Traditional Arabic" w:cs="Traditional Arabic"/>
          <w:sz w:val="32"/>
          <w:szCs w:val="32"/>
          <w:rtl/>
        </w:rPr>
        <w:footnoteReference w:id="48"/>
      </w:r>
      <w:r w:rsidR="000A6596">
        <w:rPr>
          <w:rFonts w:ascii="Traditional Arabic" w:eastAsia="Times New Roman" w:hAnsi="Traditional Arabic" w:cs="Traditional Arabic" w:hint="cs"/>
          <w:sz w:val="32"/>
          <w:szCs w:val="32"/>
          <w:rtl/>
        </w:rPr>
        <w:t xml:space="preserve">، </w:t>
      </w:r>
      <w:r w:rsidR="00B46CE0">
        <w:rPr>
          <w:rFonts w:ascii="Traditional Arabic" w:eastAsia="Times New Roman" w:hAnsi="Traditional Arabic" w:cs="Traditional Arabic" w:hint="cs"/>
          <w:sz w:val="32"/>
          <w:szCs w:val="32"/>
          <w:rtl/>
        </w:rPr>
        <w:t>والشكل</w:t>
      </w:r>
      <w:r w:rsidR="000A6596">
        <w:rPr>
          <w:rFonts w:ascii="Traditional Arabic" w:eastAsia="Times New Roman" w:hAnsi="Traditional Arabic" w:cs="Traditional Arabic" w:hint="cs"/>
          <w:sz w:val="32"/>
          <w:szCs w:val="32"/>
          <w:rtl/>
        </w:rPr>
        <w:t xml:space="preserve"> رقم </w:t>
      </w:r>
      <w:r w:rsidR="00B46CE0">
        <w:rPr>
          <w:rFonts w:ascii="Traditional Arabic" w:eastAsia="Times New Roman" w:hAnsi="Traditional Arabic" w:cs="Traditional Arabic" w:hint="cs"/>
          <w:sz w:val="24"/>
          <w:szCs w:val="24"/>
          <w:rtl/>
        </w:rPr>
        <w:t>28</w:t>
      </w:r>
      <w:r w:rsidR="000A6596" w:rsidRPr="000A6596">
        <w:rPr>
          <w:rFonts w:ascii="Traditional Arabic" w:eastAsia="Times New Roman" w:hAnsi="Traditional Arabic" w:cs="Traditional Arabic" w:hint="cs"/>
          <w:sz w:val="24"/>
          <w:szCs w:val="24"/>
          <w:rtl/>
        </w:rPr>
        <w:t xml:space="preserve"> </w:t>
      </w:r>
      <w:r w:rsidR="000A6596">
        <w:rPr>
          <w:rFonts w:ascii="Traditional Arabic" w:eastAsia="Times New Roman" w:hAnsi="Traditional Arabic" w:cs="Traditional Arabic" w:hint="cs"/>
          <w:sz w:val="32"/>
          <w:szCs w:val="32"/>
          <w:rtl/>
        </w:rPr>
        <w:t>يبين</w:t>
      </w:r>
      <w:r w:rsidR="000A6596" w:rsidRPr="000A6596">
        <w:rPr>
          <w:rFonts w:ascii="Traditional Arabic" w:eastAsia="Times New Roman" w:hAnsi="Traditional Arabic" w:cs="Traditional Arabic" w:hint="cs"/>
          <w:sz w:val="32"/>
          <w:szCs w:val="32"/>
          <w:rtl/>
        </w:rPr>
        <w:t xml:space="preserve"> </w:t>
      </w:r>
      <w:r w:rsidR="000A6596">
        <w:rPr>
          <w:rFonts w:ascii="Traditional Arabic" w:eastAsia="Times New Roman" w:hAnsi="Traditional Arabic" w:cs="Traditional Arabic" w:hint="cs"/>
          <w:sz w:val="32"/>
          <w:szCs w:val="32"/>
          <w:rtl/>
        </w:rPr>
        <w:t>تطور احتياطات الصرف الجزائرية</w:t>
      </w:r>
      <w:r w:rsidR="00922789">
        <w:rPr>
          <w:rFonts w:ascii="Traditional Arabic" w:eastAsia="Times New Roman" w:hAnsi="Traditional Arabic" w:cs="Traditional Arabic" w:hint="cs"/>
          <w:sz w:val="32"/>
          <w:szCs w:val="32"/>
          <w:rtl/>
        </w:rPr>
        <w:t xml:space="preserve"> خلال الفترة من </w:t>
      </w:r>
      <w:r w:rsidR="00922789" w:rsidRPr="00922789">
        <w:rPr>
          <w:rFonts w:ascii="Traditional Arabic" w:eastAsia="Times New Roman" w:hAnsi="Traditional Arabic" w:cs="Traditional Arabic" w:hint="cs"/>
          <w:sz w:val="24"/>
          <w:szCs w:val="24"/>
          <w:rtl/>
        </w:rPr>
        <w:t xml:space="preserve">2003 </w:t>
      </w:r>
      <w:r w:rsidR="00922789">
        <w:rPr>
          <w:rFonts w:ascii="Traditional Arabic" w:eastAsia="Times New Roman" w:hAnsi="Traditional Arabic" w:cs="Traditional Arabic" w:hint="cs"/>
          <w:sz w:val="32"/>
          <w:szCs w:val="32"/>
          <w:rtl/>
        </w:rPr>
        <w:t xml:space="preserve">إلى </w:t>
      </w:r>
      <w:r w:rsidR="00922789" w:rsidRPr="00922789">
        <w:rPr>
          <w:rFonts w:ascii="Traditional Arabic" w:eastAsia="Times New Roman" w:hAnsi="Traditional Arabic" w:cs="Traditional Arabic" w:hint="cs"/>
          <w:sz w:val="24"/>
          <w:szCs w:val="24"/>
          <w:rtl/>
        </w:rPr>
        <w:t>2008</w:t>
      </w:r>
      <w:r w:rsidR="000A6596">
        <w:rPr>
          <w:rFonts w:ascii="Traditional Arabic" w:eastAsia="Times New Roman" w:hAnsi="Traditional Arabic" w:cs="Traditional Arabic" w:hint="cs"/>
          <w:sz w:val="32"/>
          <w:szCs w:val="32"/>
          <w:rtl/>
        </w:rPr>
        <w:t xml:space="preserve">.   </w:t>
      </w:r>
      <w:r w:rsidR="007A1221">
        <w:rPr>
          <w:rFonts w:ascii="Traditional Arabic" w:eastAsia="Times New Roman" w:hAnsi="Traditional Arabic" w:cs="Traditional Arabic" w:hint="cs"/>
          <w:sz w:val="32"/>
          <w:szCs w:val="32"/>
          <w:rtl/>
        </w:rPr>
        <w:t xml:space="preserve"> </w:t>
      </w:r>
      <w:r w:rsidRPr="00E9578B">
        <w:rPr>
          <w:rFonts w:ascii="Traditional Arabic" w:eastAsia="Times New Roman" w:hAnsi="Traditional Arabic" w:cs="Traditional Arabic" w:hint="cs"/>
          <w:sz w:val="32"/>
          <w:szCs w:val="32"/>
          <w:rtl/>
        </w:rPr>
        <w:t xml:space="preserve"> </w:t>
      </w:r>
    </w:p>
    <w:p w:rsidR="004B7782" w:rsidRDefault="004B7782" w:rsidP="004B7782">
      <w:pPr>
        <w:tabs>
          <w:tab w:val="right" w:pos="567"/>
        </w:tabs>
        <w:bidi/>
        <w:jc w:val="both"/>
        <w:rPr>
          <w:rFonts w:ascii="Traditional Arabic" w:eastAsia="Times New Roman" w:hAnsi="Traditional Arabic" w:cs="Traditional Arabic"/>
          <w:sz w:val="32"/>
          <w:szCs w:val="32"/>
          <w:rtl/>
        </w:rPr>
      </w:pPr>
    </w:p>
    <w:p w:rsidR="0063358E" w:rsidRDefault="0063358E" w:rsidP="0063358E">
      <w:pPr>
        <w:tabs>
          <w:tab w:val="right" w:pos="567"/>
        </w:tabs>
        <w:bidi/>
        <w:jc w:val="both"/>
        <w:rPr>
          <w:rFonts w:ascii="Traditional Arabic" w:eastAsia="Times New Roman" w:hAnsi="Traditional Arabic" w:cs="Traditional Arabic"/>
          <w:sz w:val="32"/>
          <w:szCs w:val="32"/>
        </w:rPr>
      </w:pPr>
    </w:p>
    <w:p w:rsidR="00F035E1" w:rsidRDefault="00F035E1" w:rsidP="00F035E1">
      <w:pPr>
        <w:tabs>
          <w:tab w:val="right" w:pos="567"/>
        </w:tabs>
        <w:bidi/>
        <w:jc w:val="both"/>
        <w:rPr>
          <w:rFonts w:ascii="Traditional Arabic" w:eastAsia="Times New Roman" w:hAnsi="Traditional Arabic" w:cs="Traditional Arabic"/>
          <w:sz w:val="32"/>
          <w:szCs w:val="32"/>
        </w:rPr>
      </w:pPr>
    </w:p>
    <w:p w:rsidR="00F035E1" w:rsidRDefault="00F035E1" w:rsidP="00F035E1">
      <w:pPr>
        <w:tabs>
          <w:tab w:val="right" w:pos="567"/>
        </w:tabs>
        <w:bidi/>
        <w:jc w:val="both"/>
        <w:rPr>
          <w:rFonts w:ascii="Traditional Arabic" w:eastAsia="Times New Roman" w:hAnsi="Traditional Arabic" w:cs="Traditional Arabic"/>
          <w:sz w:val="32"/>
          <w:szCs w:val="32"/>
          <w:rtl/>
        </w:rPr>
      </w:pPr>
    </w:p>
    <w:p w:rsidR="00FF3274" w:rsidRDefault="00761114" w:rsidP="0067613E">
      <w:pPr>
        <w:tabs>
          <w:tab w:val="right" w:pos="567"/>
        </w:tabs>
        <w:bidi/>
        <w:spacing w:after="0"/>
        <w:jc w:val="center"/>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lastRenderedPageBreak/>
        <w:t>الشكل</w:t>
      </w:r>
      <w:r w:rsidR="00FF3274">
        <w:rPr>
          <w:rFonts w:ascii="Traditional Arabic" w:eastAsia="Times New Roman" w:hAnsi="Traditional Arabic" w:cs="Traditional Arabic" w:hint="cs"/>
          <w:sz w:val="32"/>
          <w:szCs w:val="32"/>
          <w:rtl/>
        </w:rPr>
        <w:t xml:space="preserve"> رقم</w:t>
      </w:r>
      <w:r w:rsidR="00E241F5">
        <w:rPr>
          <w:rFonts w:ascii="Traditional Arabic" w:eastAsia="Times New Roman" w:hAnsi="Traditional Arabic" w:cs="Traditional Arabic" w:hint="cs"/>
          <w:sz w:val="32"/>
          <w:szCs w:val="32"/>
          <w:rtl/>
        </w:rPr>
        <w:t xml:space="preserve"> </w:t>
      </w:r>
      <w:r w:rsidR="00B46CE0">
        <w:rPr>
          <w:rFonts w:ascii="Traditional Arabic" w:eastAsia="Times New Roman" w:hAnsi="Traditional Arabic" w:cs="Traditional Arabic" w:hint="cs"/>
          <w:sz w:val="24"/>
          <w:szCs w:val="24"/>
          <w:rtl/>
        </w:rPr>
        <w:t>28</w:t>
      </w:r>
      <w:r w:rsidR="00FF3274">
        <w:rPr>
          <w:rFonts w:ascii="Traditional Arabic" w:eastAsia="Times New Roman" w:hAnsi="Traditional Arabic" w:cs="Traditional Arabic" w:hint="cs"/>
          <w:sz w:val="32"/>
          <w:szCs w:val="32"/>
          <w:rtl/>
        </w:rPr>
        <w:t>: تطور احتياطات الصرف الجزائرية</w:t>
      </w:r>
      <w:r w:rsidR="008B63BE">
        <w:rPr>
          <w:rFonts w:ascii="Traditional Arabic" w:eastAsia="Times New Roman" w:hAnsi="Traditional Arabic" w:cs="Traditional Arabic" w:hint="cs"/>
          <w:sz w:val="32"/>
          <w:szCs w:val="32"/>
          <w:rtl/>
        </w:rPr>
        <w:t xml:space="preserve"> خلال الفترة </w:t>
      </w:r>
      <w:r w:rsidR="008B63BE" w:rsidRPr="008B63BE">
        <w:rPr>
          <w:rFonts w:ascii="Traditional Arabic" w:eastAsia="Times New Roman" w:hAnsi="Traditional Arabic" w:cs="Traditional Arabic" w:hint="cs"/>
          <w:sz w:val="24"/>
          <w:szCs w:val="24"/>
          <w:rtl/>
        </w:rPr>
        <w:t>2003-2008</w:t>
      </w:r>
      <w:r w:rsidR="00093EFF">
        <w:rPr>
          <w:rFonts w:ascii="Traditional Arabic" w:eastAsia="Times New Roman" w:hAnsi="Traditional Arabic" w:cs="Traditional Arabic" w:hint="cs"/>
          <w:sz w:val="24"/>
          <w:szCs w:val="24"/>
          <w:rtl/>
        </w:rPr>
        <w:t xml:space="preserve"> </w:t>
      </w:r>
      <w:r w:rsidR="00093EFF" w:rsidRPr="00093EFF">
        <w:rPr>
          <w:rFonts w:ascii="Traditional Arabic" w:eastAsia="Times New Roman" w:hAnsi="Traditional Arabic" w:cs="Traditional Arabic" w:hint="cs"/>
          <w:sz w:val="28"/>
          <w:szCs w:val="28"/>
          <w:rtl/>
        </w:rPr>
        <w:t>(مليار دولار)</w:t>
      </w:r>
    </w:p>
    <w:p w:rsidR="00683902" w:rsidRPr="00EC5754" w:rsidRDefault="00683902" w:rsidP="00683902">
      <w:pPr>
        <w:tabs>
          <w:tab w:val="right" w:pos="567"/>
          <w:tab w:val="right" w:pos="1273"/>
        </w:tabs>
        <w:bidi/>
        <w:jc w:val="center"/>
        <w:rPr>
          <w:rFonts w:ascii="Traditional Arabic" w:eastAsia="Times New Roman" w:hAnsi="Traditional Arabic" w:cs="Traditional Arabic"/>
          <w:sz w:val="28"/>
          <w:szCs w:val="28"/>
          <w:rtl/>
        </w:rPr>
      </w:pPr>
      <w:r>
        <w:rPr>
          <w:rFonts w:ascii="Traditional Arabic" w:eastAsia="Times New Roman" w:hAnsi="Traditional Arabic" w:cs="Traditional Arabic"/>
          <w:noProof/>
          <w:sz w:val="28"/>
          <w:szCs w:val="28"/>
        </w:rPr>
        <w:drawing>
          <wp:inline distT="0" distB="0" distL="0" distR="0">
            <wp:extent cx="4266703" cy="2481132"/>
            <wp:effectExtent l="19050" t="0" r="497"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4266703" cy="2481132"/>
                    </a:xfrm>
                    <a:prstGeom prst="rect">
                      <a:avLst/>
                    </a:prstGeom>
                    <a:noFill/>
                    <a:ln w="9525">
                      <a:noFill/>
                      <a:miter lim="800000"/>
                      <a:headEnd/>
                      <a:tailEnd/>
                    </a:ln>
                  </pic:spPr>
                </pic:pic>
              </a:graphicData>
            </a:graphic>
          </wp:inline>
        </w:drawing>
      </w:r>
    </w:p>
    <w:p w:rsidR="00E87241" w:rsidRPr="00E87241" w:rsidRDefault="00E26FA0" w:rsidP="00E26FA0">
      <w:pPr>
        <w:tabs>
          <w:tab w:val="right" w:pos="567"/>
        </w:tabs>
        <w:bidi/>
        <w:rPr>
          <w:rFonts w:ascii="Traditional Arabic" w:eastAsia="Times New Roman" w:hAnsi="Traditional Arabic" w:cs="Traditional Arabic"/>
          <w:sz w:val="28"/>
          <w:szCs w:val="28"/>
          <w:rtl/>
        </w:rPr>
      </w:pPr>
      <w:r>
        <w:rPr>
          <w:rFonts w:ascii="Traditional Arabic" w:eastAsia="Times New Roman" w:hAnsi="Traditional Arabic" w:cs="Traditional Arabic"/>
          <w:sz w:val="28"/>
          <w:szCs w:val="28"/>
        </w:rPr>
        <w:t xml:space="preserve">                  </w:t>
      </w:r>
      <w:r w:rsidR="00E87241" w:rsidRPr="00EC5754">
        <w:rPr>
          <w:rFonts w:ascii="Traditional Arabic" w:eastAsia="Times New Roman" w:hAnsi="Traditional Arabic" w:cs="Traditional Arabic" w:hint="cs"/>
          <w:sz w:val="28"/>
          <w:szCs w:val="28"/>
          <w:rtl/>
        </w:rPr>
        <w:t xml:space="preserve">المصدر: </w:t>
      </w:r>
      <w:r w:rsidR="00E87241">
        <w:rPr>
          <w:rFonts w:ascii="Traditional Arabic" w:eastAsia="Times New Roman" w:hAnsi="Traditional Arabic" w:cs="Traditional Arabic" w:hint="cs"/>
          <w:sz w:val="28"/>
          <w:szCs w:val="28"/>
          <w:rtl/>
        </w:rPr>
        <w:t xml:space="preserve">من إعداد </w:t>
      </w:r>
      <w:r w:rsidR="0083308A">
        <w:rPr>
          <w:rFonts w:ascii="Traditional Arabic" w:eastAsia="Times New Roman" w:hAnsi="Traditional Arabic" w:cs="Traditional Arabic" w:hint="cs"/>
          <w:sz w:val="28"/>
          <w:szCs w:val="28"/>
          <w:rtl/>
        </w:rPr>
        <w:t>الباحث</w:t>
      </w:r>
    </w:p>
    <w:p w:rsidR="00B35CF7" w:rsidRPr="00703596" w:rsidRDefault="00E87241" w:rsidP="00E87241">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B35CF7">
        <w:rPr>
          <w:rFonts w:ascii="Traditional Arabic" w:hAnsi="Traditional Arabic" w:cs="Traditional Arabic"/>
          <w:sz w:val="32"/>
          <w:szCs w:val="32"/>
          <w:rtl/>
        </w:rPr>
        <w:t xml:space="preserve">ولكن جزء من </w:t>
      </w:r>
      <w:r w:rsidR="00B35CF7" w:rsidRPr="00703596">
        <w:rPr>
          <w:rFonts w:ascii="Traditional Arabic" w:hAnsi="Traditional Arabic" w:cs="Traditional Arabic"/>
          <w:sz w:val="32"/>
          <w:szCs w:val="32"/>
          <w:rtl/>
        </w:rPr>
        <w:t xml:space="preserve">احتياطي </w:t>
      </w:r>
      <w:r w:rsidR="00B35CF7" w:rsidRPr="00703596">
        <w:rPr>
          <w:rFonts w:ascii="Traditional Arabic" w:hAnsi="Traditional Arabic" w:cs="Traditional Arabic" w:hint="cs"/>
          <w:sz w:val="32"/>
          <w:szCs w:val="32"/>
          <w:rtl/>
        </w:rPr>
        <w:t>الصرف</w:t>
      </w:r>
      <w:r w:rsidR="00B35CF7" w:rsidRPr="00703596">
        <w:rPr>
          <w:rFonts w:ascii="Traditional Arabic" w:hAnsi="Traditional Arabic" w:cs="Traditional Arabic"/>
          <w:sz w:val="32"/>
          <w:szCs w:val="32"/>
          <w:rtl/>
        </w:rPr>
        <w:t xml:space="preserve"> الأجنبي </w:t>
      </w:r>
      <w:r w:rsidR="00B35CF7" w:rsidRPr="00703596">
        <w:rPr>
          <w:rFonts w:ascii="Traditional Arabic" w:hAnsi="Traditional Arabic" w:cs="Traditional Arabic" w:hint="cs"/>
          <w:sz w:val="32"/>
          <w:szCs w:val="32"/>
          <w:rtl/>
        </w:rPr>
        <w:t>تم توظيفه</w:t>
      </w:r>
      <w:r w:rsidR="00B35CF7" w:rsidRPr="00703596">
        <w:rPr>
          <w:rFonts w:ascii="Traditional Arabic" w:hAnsi="Traditional Arabic" w:cs="Traditional Arabic"/>
          <w:sz w:val="32"/>
          <w:szCs w:val="32"/>
          <w:rtl/>
        </w:rPr>
        <w:t xml:space="preserve"> في الخارج، والجمهور على علم فقط</w:t>
      </w:r>
      <w:r w:rsidR="00B35CF7" w:rsidRPr="00703596">
        <w:rPr>
          <w:rFonts w:ascii="Traditional Arabic" w:hAnsi="Traditional Arabic" w:cs="Traditional Arabic" w:hint="cs"/>
          <w:sz w:val="32"/>
          <w:szCs w:val="32"/>
          <w:rtl/>
        </w:rPr>
        <w:t xml:space="preserve"> بـ</w:t>
      </w:r>
      <w:r w:rsidR="00B35CF7" w:rsidRPr="00703596">
        <w:rPr>
          <w:rFonts w:ascii="Traditional Arabic" w:hAnsi="Traditional Arabic" w:cs="Traditional Arabic"/>
          <w:sz w:val="32"/>
          <w:szCs w:val="32"/>
          <w:rtl/>
        </w:rPr>
        <w:t xml:space="preserve"> </w:t>
      </w:r>
      <w:r w:rsidR="00B35CF7" w:rsidRPr="00703596">
        <w:rPr>
          <w:rFonts w:ascii="Traditional Arabic" w:hAnsi="Traditional Arabic" w:cs="Traditional Arabic"/>
          <w:sz w:val="24"/>
          <w:szCs w:val="24"/>
          <w:rtl/>
        </w:rPr>
        <w:t xml:space="preserve">43 </w:t>
      </w:r>
      <w:r w:rsidR="00B35CF7">
        <w:rPr>
          <w:rFonts w:ascii="Traditional Arabic" w:hAnsi="Traditional Arabic" w:cs="Traditional Arabic"/>
          <w:sz w:val="32"/>
          <w:szCs w:val="32"/>
          <w:rtl/>
        </w:rPr>
        <w:t>مليار دولار و</w:t>
      </w:r>
      <w:r w:rsidR="00B35CF7">
        <w:rPr>
          <w:rFonts w:ascii="Traditional Arabic" w:hAnsi="Traditional Arabic" w:cs="Traditional Arabic" w:hint="cs"/>
          <w:sz w:val="32"/>
          <w:szCs w:val="32"/>
          <w:rtl/>
        </w:rPr>
        <w:t>ظف</w:t>
      </w:r>
      <w:r w:rsidR="00B35CF7" w:rsidRPr="00703596">
        <w:rPr>
          <w:rFonts w:ascii="Traditional Arabic" w:hAnsi="Traditional Arabic" w:cs="Traditional Arabic"/>
          <w:sz w:val="32"/>
          <w:szCs w:val="32"/>
          <w:rtl/>
        </w:rPr>
        <w:t xml:space="preserve">ت </w:t>
      </w:r>
      <w:r w:rsidR="00B35CF7">
        <w:rPr>
          <w:rFonts w:ascii="Traditional Arabic" w:hAnsi="Traditional Arabic" w:cs="Traditional Arabic" w:hint="cs"/>
          <w:sz w:val="32"/>
          <w:szCs w:val="32"/>
          <w:rtl/>
        </w:rPr>
        <w:t>على شكل</w:t>
      </w:r>
      <w:r w:rsidR="00B35CF7" w:rsidRPr="00703596">
        <w:rPr>
          <w:rFonts w:ascii="Traditional Arabic" w:hAnsi="Traditional Arabic" w:cs="Traditional Arabic"/>
          <w:sz w:val="32"/>
          <w:szCs w:val="32"/>
          <w:rtl/>
        </w:rPr>
        <w:t xml:space="preserve"> سندات الخزينة الأمريكية.</w:t>
      </w:r>
      <w:r w:rsidR="00E23432">
        <w:rPr>
          <w:rFonts w:ascii="Traditional Arabic" w:hAnsi="Traditional Arabic" w:cs="Traditional Arabic" w:hint="cs"/>
          <w:sz w:val="32"/>
          <w:szCs w:val="32"/>
          <w:rtl/>
        </w:rPr>
        <w:t xml:space="preserve"> </w:t>
      </w:r>
      <w:r w:rsidR="00B35CF7" w:rsidRPr="00703596">
        <w:rPr>
          <w:rFonts w:ascii="Traditional Arabic" w:hAnsi="Traditional Arabic" w:cs="Traditional Arabic" w:hint="cs"/>
          <w:sz w:val="32"/>
          <w:szCs w:val="32"/>
          <w:rtl/>
        </w:rPr>
        <w:t>كما أن</w:t>
      </w:r>
      <w:r w:rsidR="00B35CF7" w:rsidRPr="00703596">
        <w:rPr>
          <w:rFonts w:ascii="Traditional Arabic" w:hAnsi="Traditional Arabic" w:cs="Traditional Arabic"/>
          <w:sz w:val="32"/>
          <w:szCs w:val="32"/>
          <w:rtl/>
        </w:rPr>
        <w:t xml:space="preserve"> البنك المركزي يستخدم طريقتان </w:t>
      </w:r>
      <w:r w:rsidR="00B35CF7" w:rsidRPr="00703596">
        <w:rPr>
          <w:rFonts w:ascii="Traditional Arabic" w:hAnsi="Traditional Arabic" w:cs="Traditional Arabic" w:hint="cs"/>
          <w:sz w:val="32"/>
          <w:szCs w:val="32"/>
          <w:rtl/>
        </w:rPr>
        <w:t>لتوظيف</w:t>
      </w:r>
      <w:r w:rsidR="00B35CF7" w:rsidRPr="00703596">
        <w:rPr>
          <w:rFonts w:ascii="Traditional Arabic" w:hAnsi="Traditional Arabic" w:cs="Traditional Arabic"/>
          <w:sz w:val="32"/>
          <w:szCs w:val="32"/>
          <w:rtl/>
        </w:rPr>
        <w:t xml:space="preserve"> </w:t>
      </w:r>
      <w:r w:rsidR="00B35CF7">
        <w:rPr>
          <w:rFonts w:ascii="Traditional Arabic" w:hAnsi="Traditional Arabic" w:cs="Traditional Arabic"/>
          <w:sz w:val="32"/>
          <w:szCs w:val="32"/>
          <w:rtl/>
        </w:rPr>
        <w:t>احتياطيات النقد الأجنبي للجزائر</w:t>
      </w:r>
      <w:r w:rsidR="00B35CF7">
        <w:rPr>
          <w:rFonts w:ascii="Traditional Arabic" w:hAnsi="Traditional Arabic" w:cs="Traditional Arabic" w:hint="cs"/>
          <w:sz w:val="32"/>
          <w:szCs w:val="32"/>
          <w:rtl/>
        </w:rPr>
        <w:t>،</w:t>
      </w:r>
      <w:r w:rsidR="00B35CF7" w:rsidRPr="00703596">
        <w:rPr>
          <w:rFonts w:ascii="Traditional Arabic" w:hAnsi="Traditional Arabic" w:cs="Traditional Arabic"/>
          <w:sz w:val="32"/>
          <w:szCs w:val="32"/>
          <w:rtl/>
        </w:rPr>
        <w:t xml:space="preserve"> فإن</w:t>
      </w:r>
      <w:r w:rsidR="00B35CF7" w:rsidRPr="00703596">
        <w:rPr>
          <w:rFonts w:ascii="Traditional Arabic" w:hAnsi="Traditional Arabic" w:cs="Traditional Arabic" w:hint="cs"/>
          <w:sz w:val="32"/>
          <w:szCs w:val="32"/>
          <w:rtl/>
        </w:rPr>
        <w:t xml:space="preserve"> قرابة</w:t>
      </w:r>
      <w:r w:rsidR="00B35CF7" w:rsidRPr="00703596">
        <w:rPr>
          <w:rFonts w:ascii="Traditional Arabic" w:hAnsi="Traditional Arabic" w:cs="Traditional Arabic"/>
          <w:sz w:val="32"/>
          <w:szCs w:val="32"/>
          <w:rtl/>
        </w:rPr>
        <w:t xml:space="preserve"> </w:t>
      </w:r>
      <w:r w:rsidR="00B35CF7" w:rsidRPr="00703596">
        <w:rPr>
          <w:rFonts w:ascii="Traditional Arabic" w:hAnsi="Traditional Arabic" w:cs="Traditional Arabic"/>
          <w:sz w:val="24"/>
          <w:szCs w:val="24"/>
          <w:rtl/>
        </w:rPr>
        <w:t xml:space="preserve">70 </w:t>
      </w:r>
      <w:r w:rsidR="00B35CF7" w:rsidRPr="00703596">
        <w:rPr>
          <w:rFonts w:ascii="Traditional Arabic" w:eastAsia="Times New Roman" w:hAnsi="Traditional Arabic" w:cs="Traditional Arabic"/>
          <w:color w:val="000000"/>
          <w:sz w:val="24"/>
          <w:szCs w:val="24"/>
          <w:rtl/>
        </w:rPr>
        <w:t>%</w:t>
      </w:r>
      <w:r w:rsidR="00B35CF7" w:rsidRPr="00703596">
        <w:rPr>
          <w:rFonts w:ascii="Traditional Arabic" w:hAnsi="Traditional Arabic" w:cs="Traditional Arabic"/>
          <w:sz w:val="24"/>
          <w:szCs w:val="24"/>
          <w:rtl/>
        </w:rPr>
        <w:t xml:space="preserve"> </w:t>
      </w:r>
      <w:r w:rsidR="00B35CF7" w:rsidRPr="00703596">
        <w:rPr>
          <w:rFonts w:ascii="Traditional Arabic" w:hAnsi="Traditional Arabic" w:cs="Traditional Arabic" w:hint="cs"/>
          <w:sz w:val="32"/>
          <w:szCs w:val="32"/>
          <w:rtl/>
        </w:rPr>
        <w:t>مودعة في شكل</w:t>
      </w:r>
      <w:r w:rsidR="00B35CF7" w:rsidRPr="00703596">
        <w:rPr>
          <w:rFonts w:ascii="Traditional Arabic" w:hAnsi="Traditional Arabic" w:cs="Traditional Arabic"/>
          <w:sz w:val="32"/>
          <w:szCs w:val="32"/>
          <w:rtl/>
        </w:rPr>
        <w:t xml:space="preserve"> سندات الخزانة الأمريكية</w:t>
      </w:r>
      <w:r w:rsidR="00B35CF7" w:rsidRPr="00703596">
        <w:rPr>
          <w:rFonts w:ascii="Traditional Arabic" w:hAnsi="Traditional Arabic" w:cs="Traditional Arabic" w:hint="cs"/>
          <w:sz w:val="32"/>
          <w:szCs w:val="32"/>
          <w:rtl/>
        </w:rPr>
        <w:t>،</w:t>
      </w:r>
      <w:r w:rsidR="00B35CF7" w:rsidRPr="00703596">
        <w:rPr>
          <w:rFonts w:ascii="Traditional Arabic" w:hAnsi="Traditional Arabic" w:cs="Traditional Arabic"/>
          <w:sz w:val="32"/>
          <w:szCs w:val="32"/>
          <w:rtl/>
        </w:rPr>
        <w:t xml:space="preserve"> اليابانية</w:t>
      </w:r>
      <w:r w:rsidR="00B35CF7" w:rsidRPr="00703596">
        <w:rPr>
          <w:rFonts w:ascii="Traditional Arabic" w:hAnsi="Traditional Arabic" w:cs="Traditional Arabic" w:hint="cs"/>
          <w:sz w:val="32"/>
          <w:szCs w:val="32"/>
          <w:rtl/>
        </w:rPr>
        <w:t>،</w:t>
      </w:r>
      <w:r w:rsidR="00B35CF7" w:rsidRPr="00703596">
        <w:rPr>
          <w:rFonts w:ascii="Traditional Arabic" w:hAnsi="Traditional Arabic" w:cs="Traditional Arabic"/>
          <w:sz w:val="32"/>
          <w:szCs w:val="32"/>
          <w:rtl/>
        </w:rPr>
        <w:t xml:space="preserve"> البريطانية والأوروبية، وهي في الغالب تصنيف </w:t>
      </w:r>
      <w:r w:rsidR="00B35CF7" w:rsidRPr="00703596">
        <w:rPr>
          <w:rFonts w:ascii="Traditional Arabic" w:hAnsi="Traditional Arabic" w:cs="Traditional Arabic"/>
          <w:sz w:val="24"/>
          <w:szCs w:val="24"/>
        </w:rPr>
        <w:t>AAA</w:t>
      </w:r>
      <w:r w:rsidR="00B35CF7" w:rsidRPr="00703596">
        <w:rPr>
          <w:rFonts w:ascii="Traditional Arabic" w:hAnsi="Traditional Arabic" w:cs="Traditional Arabic"/>
          <w:sz w:val="24"/>
          <w:szCs w:val="24"/>
          <w:rtl/>
        </w:rPr>
        <w:t xml:space="preserve"> </w:t>
      </w:r>
      <w:r w:rsidR="00B35CF7" w:rsidRPr="00703596">
        <w:rPr>
          <w:rFonts w:ascii="Traditional Arabic" w:hAnsi="Traditional Arabic" w:cs="Traditional Arabic"/>
          <w:sz w:val="32"/>
          <w:szCs w:val="32"/>
          <w:rtl/>
        </w:rPr>
        <w:t>(استثمارات آمنة جدا) مع مدة طويلة نوعا ما</w:t>
      </w:r>
      <w:r w:rsidR="00B35CF7" w:rsidRPr="00703596">
        <w:rPr>
          <w:rFonts w:ascii="Traditional Arabic" w:hAnsi="Traditional Arabic" w:cs="Traditional Arabic" w:hint="cs"/>
          <w:sz w:val="32"/>
          <w:szCs w:val="32"/>
          <w:rtl/>
        </w:rPr>
        <w:t>،</w:t>
      </w:r>
      <w:r w:rsidR="00B35CF7" w:rsidRPr="00703596">
        <w:rPr>
          <w:rFonts w:ascii="Traditional Arabic" w:hAnsi="Traditional Arabic" w:cs="Traditional Arabic"/>
          <w:sz w:val="32"/>
          <w:szCs w:val="32"/>
          <w:rtl/>
        </w:rPr>
        <w:t xml:space="preserve"> أما </w:t>
      </w:r>
      <w:r w:rsidR="00B35CF7" w:rsidRPr="00703596">
        <w:rPr>
          <w:rFonts w:ascii="Traditional Arabic" w:hAnsi="Traditional Arabic" w:cs="Traditional Arabic" w:hint="cs"/>
          <w:sz w:val="32"/>
          <w:szCs w:val="32"/>
          <w:rtl/>
          <w:lang w:bidi="ar-DZ"/>
        </w:rPr>
        <w:t>الباقي فمودع لدى بنوك كبيرة عالية السمعة.</w:t>
      </w:r>
      <w:r w:rsidR="00B35CF7">
        <w:rPr>
          <w:rFonts w:ascii="Traditional Arabic" w:hAnsi="Traditional Arabic" w:cs="Traditional Arabic" w:hint="cs"/>
          <w:sz w:val="32"/>
          <w:szCs w:val="32"/>
          <w:rtl/>
          <w:lang w:bidi="ar-DZ"/>
        </w:rPr>
        <w:t xml:space="preserve"> </w:t>
      </w:r>
    </w:p>
    <w:p w:rsidR="00B35CF7" w:rsidRPr="00703596" w:rsidRDefault="00B35CF7" w:rsidP="00E976F8">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 xml:space="preserve">     </w:t>
      </w:r>
      <w:r w:rsidRPr="00703596">
        <w:rPr>
          <w:rFonts w:ascii="Traditional Arabic" w:hAnsi="Traditional Arabic" w:cs="Traditional Arabic" w:hint="cs"/>
          <w:sz w:val="32"/>
          <w:szCs w:val="32"/>
          <w:rtl/>
          <w:lang w:bidi="ar-DZ"/>
        </w:rPr>
        <w:t xml:space="preserve"> </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ف</w:t>
      </w:r>
      <w:r w:rsidRPr="00703596">
        <w:rPr>
          <w:rFonts w:ascii="Traditional Arabic" w:hAnsi="Traditional Arabic" w:cs="Traditional Arabic"/>
          <w:sz w:val="32"/>
          <w:szCs w:val="32"/>
          <w:rtl/>
        </w:rPr>
        <w:t xml:space="preserve">هذه الاحتياطات تتألف من </w:t>
      </w:r>
      <w:r w:rsidRPr="00703596">
        <w:rPr>
          <w:rFonts w:ascii="Traditional Arabic" w:hAnsi="Traditional Arabic" w:cs="Traditional Arabic"/>
          <w:sz w:val="24"/>
          <w:szCs w:val="24"/>
          <w:rtl/>
        </w:rPr>
        <w:t xml:space="preserve">45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24"/>
          <w:szCs w:val="24"/>
          <w:rtl/>
        </w:rPr>
        <w:t xml:space="preserve"> </w:t>
      </w:r>
      <w:r w:rsidRPr="00703596">
        <w:rPr>
          <w:rFonts w:ascii="Traditional Arabic" w:hAnsi="Traditional Arabic" w:cs="Traditional Arabic"/>
          <w:sz w:val="32"/>
          <w:szCs w:val="32"/>
          <w:rtl/>
        </w:rPr>
        <w:t xml:space="preserve">بالدولار، </w:t>
      </w:r>
      <w:r w:rsidRPr="00703596">
        <w:rPr>
          <w:rFonts w:ascii="Traditional Arabic" w:hAnsi="Traditional Arabic" w:cs="Traditional Arabic"/>
          <w:sz w:val="24"/>
          <w:szCs w:val="24"/>
          <w:rtl/>
        </w:rPr>
        <w:t xml:space="preserve">45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24"/>
          <w:szCs w:val="24"/>
          <w:rtl/>
        </w:rPr>
        <w:t xml:space="preserve"> </w:t>
      </w:r>
      <w:r w:rsidR="00B50B90">
        <w:rPr>
          <w:rFonts w:ascii="Traditional Arabic" w:hAnsi="Traditional Arabic" w:cs="Traditional Arabic"/>
          <w:sz w:val="32"/>
          <w:szCs w:val="32"/>
          <w:rtl/>
        </w:rPr>
        <w:t>بال</w:t>
      </w:r>
      <w:r w:rsidR="00B50B90">
        <w:rPr>
          <w:rFonts w:ascii="Traditional Arabic" w:hAnsi="Traditional Arabic" w:cs="Traditional Arabic" w:hint="cs"/>
          <w:sz w:val="32"/>
          <w:szCs w:val="32"/>
          <w:rtl/>
        </w:rPr>
        <w:t>أ</w:t>
      </w:r>
      <w:r w:rsidRPr="00703596">
        <w:rPr>
          <w:rFonts w:ascii="Traditional Arabic" w:hAnsi="Traditional Arabic" w:cs="Traditional Arabic"/>
          <w:sz w:val="32"/>
          <w:szCs w:val="32"/>
          <w:rtl/>
        </w:rPr>
        <w:t xml:space="preserve">ورو، </w:t>
      </w:r>
      <w:r w:rsidRPr="00703596">
        <w:rPr>
          <w:rFonts w:ascii="Traditional Arabic" w:hAnsi="Traditional Arabic" w:cs="Traditional Arabic"/>
          <w:sz w:val="24"/>
          <w:szCs w:val="24"/>
          <w:rtl/>
        </w:rPr>
        <w:t xml:space="preserve">5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24"/>
          <w:szCs w:val="24"/>
          <w:rtl/>
        </w:rPr>
        <w:t xml:space="preserve"> </w:t>
      </w:r>
      <w:r w:rsidRPr="00703596">
        <w:rPr>
          <w:rFonts w:ascii="Traditional Arabic" w:hAnsi="Traditional Arabic" w:cs="Traditional Arabic"/>
          <w:sz w:val="32"/>
          <w:szCs w:val="32"/>
          <w:rtl/>
        </w:rPr>
        <w:t xml:space="preserve">بالين و </w:t>
      </w:r>
      <w:r w:rsidRPr="00703596">
        <w:rPr>
          <w:rFonts w:ascii="Traditional Arabic" w:hAnsi="Traditional Arabic" w:cs="Traditional Arabic"/>
          <w:sz w:val="24"/>
          <w:szCs w:val="24"/>
          <w:rtl/>
        </w:rPr>
        <w:t xml:space="preserve">5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24"/>
          <w:szCs w:val="24"/>
          <w:rtl/>
        </w:rPr>
        <w:t xml:space="preserve"> </w:t>
      </w:r>
      <w:r w:rsidRPr="00703596">
        <w:rPr>
          <w:rFonts w:ascii="Traditional Arabic" w:hAnsi="Traditional Arabic" w:cs="Traditional Arabic"/>
          <w:sz w:val="32"/>
          <w:szCs w:val="32"/>
          <w:rtl/>
        </w:rPr>
        <w:t xml:space="preserve">بالجنيه الإسترليني حسب محافظ بنك الجزائر، </w:t>
      </w:r>
      <w:r w:rsidRPr="00703596">
        <w:rPr>
          <w:rFonts w:ascii="Traditional Arabic" w:hAnsi="Traditional Arabic" w:cs="Traditional Arabic" w:hint="cs"/>
          <w:sz w:val="32"/>
          <w:szCs w:val="32"/>
          <w:rtl/>
        </w:rPr>
        <w:t>كما أن معدل فائدة الأصول الجزائرية الموضوعة في الهياكل المضمونة من طرف هذه الدول أقل من معدلات بنوكها المركزية. فمعدل الفائدة الرئيسي ل</w:t>
      </w:r>
      <w:r w:rsidRPr="00703596">
        <w:rPr>
          <w:rFonts w:ascii="Traditional Arabic" w:hAnsi="Traditional Arabic" w:cs="Traditional Arabic"/>
          <w:sz w:val="32"/>
          <w:szCs w:val="32"/>
          <w:rtl/>
        </w:rPr>
        <w:t xml:space="preserve">سندات خزينة البنك الاحتياطي الفيدرالي </w:t>
      </w:r>
      <w:r w:rsidRPr="00703596">
        <w:rPr>
          <w:rFonts w:ascii="Traditional Arabic" w:hAnsi="Traditional Arabic" w:cs="Traditional Arabic" w:hint="cs"/>
          <w:sz w:val="32"/>
          <w:szCs w:val="32"/>
          <w:rtl/>
        </w:rPr>
        <w:t>للولايات المتحدة الأمريكية</w:t>
      </w:r>
      <w:r w:rsidRPr="00703596">
        <w:rPr>
          <w:rFonts w:ascii="Traditional Arabic" w:hAnsi="Traditional Arabic" w:cs="Traditional Arabic"/>
          <w:sz w:val="32"/>
          <w:szCs w:val="32"/>
          <w:rtl/>
        </w:rPr>
        <w:t xml:space="preserve"> قبل الأزمة </w:t>
      </w:r>
      <w:r w:rsidRPr="00703596">
        <w:rPr>
          <w:rFonts w:ascii="Traditional Arabic" w:hAnsi="Traditional Arabic" w:cs="Traditional Arabic" w:hint="cs"/>
          <w:sz w:val="32"/>
          <w:szCs w:val="32"/>
          <w:rtl/>
        </w:rPr>
        <w:t xml:space="preserve">كان </w:t>
      </w:r>
      <w:r w:rsidRPr="00703596">
        <w:rPr>
          <w:rFonts w:ascii="Traditional Arabic" w:hAnsi="Traditional Arabic" w:cs="Traditional Arabic"/>
          <w:sz w:val="32"/>
          <w:szCs w:val="32"/>
          <w:rtl/>
        </w:rPr>
        <w:t xml:space="preserve">يقدر بـ </w:t>
      </w:r>
      <w:r w:rsidRPr="00703596">
        <w:rPr>
          <w:rFonts w:ascii="Traditional Arabic" w:hAnsi="Traditional Arabic" w:cs="Traditional Arabic"/>
          <w:sz w:val="24"/>
          <w:szCs w:val="24"/>
          <w:rtl/>
        </w:rPr>
        <w:t>2</w:t>
      </w:r>
      <w:r w:rsidRPr="00703596">
        <w:rPr>
          <w:rFonts w:ascii="Traditional Arabic" w:hAnsi="Traditional Arabic" w:cs="Traditional Arabic"/>
          <w:sz w:val="32"/>
          <w:szCs w:val="32"/>
          <w:rtl/>
        </w:rPr>
        <w:t xml:space="preserve">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 xml:space="preserve">انخفض </w:t>
      </w:r>
      <w:r w:rsidRPr="00703596">
        <w:rPr>
          <w:rFonts w:ascii="Traditional Arabic" w:hAnsi="Traditional Arabic" w:cs="Traditional Arabic"/>
          <w:sz w:val="32"/>
          <w:szCs w:val="32"/>
          <w:rtl/>
        </w:rPr>
        <w:t xml:space="preserve">منذ </w:t>
      </w:r>
      <w:r w:rsidRPr="00703596">
        <w:rPr>
          <w:rFonts w:ascii="Traditional Arabic" w:hAnsi="Traditional Arabic" w:cs="Traditional Arabic"/>
          <w:sz w:val="24"/>
          <w:szCs w:val="24"/>
          <w:rtl/>
        </w:rPr>
        <w:t>08</w:t>
      </w:r>
      <w:r w:rsidRPr="00703596">
        <w:rPr>
          <w:rFonts w:ascii="Traditional Arabic" w:hAnsi="Traditional Arabic" w:cs="Traditional Arabic"/>
          <w:sz w:val="32"/>
          <w:szCs w:val="32"/>
          <w:rtl/>
        </w:rPr>
        <w:t xml:space="preserve"> أكتوبر </w:t>
      </w:r>
      <w:r w:rsidRPr="00703596">
        <w:rPr>
          <w:rFonts w:ascii="Traditional Arabic" w:hAnsi="Traditional Arabic" w:cs="Traditional Arabic"/>
          <w:sz w:val="24"/>
          <w:szCs w:val="24"/>
          <w:rtl/>
        </w:rPr>
        <w:t xml:space="preserve">2008 </w:t>
      </w:r>
      <w:r w:rsidRPr="00703596">
        <w:rPr>
          <w:rFonts w:ascii="Traditional Arabic" w:hAnsi="Traditional Arabic" w:cs="Traditional Arabic" w:hint="cs"/>
          <w:sz w:val="32"/>
          <w:szCs w:val="32"/>
          <w:rtl/>
        </w:rPr>
        <w:t>إلى</w:t>
      </w:r>
      <w:r w:rsidRPr="00703596">
        <w:rPr>
          <w:rFonts w:ascii="Traditional Arabic" w:hAnsi="Traditional Arabic" w:cs="Traditional Arabic" w:hint="cs"/>
          <w:sz w:val="24"/>
          <w:szCs w:val="24"/>
          <w:rtl/>
        </w:rPr>
        <w:t xml:space="preserve"> </w:t>
      </w:r>
      <w:r w:rsidRPr="00703596">
        <w:rPr>
          <w:rFonts w:ascii="Traditional Arabic" w:hAnsi="Traditional Arabic" w:cs="Traditional Arabic"/>
          <w:sz w:val="24"/>
          <w:szCs w:val="24"/>
          <w:rtl/>
        </w:rPr>
        <w:t>1.5</w:t>
      </w:r>
      <w:r w:rsidRPr="00703596">
        <w:rPr>
          <w:rFonts w:ascii="Traditional Arabic" w:hAnsi="Traditional Arabic" w:cs="Traditional Arabic"/>
          <w:sz w:val="32"/>
          <w:szCs w:val="32"/>
          <w:rtl/>
        </w:rPr>
        <w:t xml:space="preserve"> </w:t>
      </w:r>
      <w:r w:rsidRPr="00703596">
        <w:rPr>
          <w:rFonts w:ascii="Traditional Arabic" w:eastAsia="Times New Roman" w:hAnsi="Traditional Arabic" w:cs="Traditional Arabic"/>
          <w:color w:val="000000"/>
          <w:sz w:val="24"/>
          <w:szCs w:val="24"/>
          <w:rtl/>
        </w:rPr>
        <w:t>%</w:t>
      </w:r>
      <w:r w:rsidR="007E0569" w:rsidRPr="007E0569">
        <w:rPr>
          <w:rFonts w:ascii="Traditional Arabic" w:eastAsia="Times New Roman" w:hAnsi="Traditional Arabic" w:cs="Traditional Arabic" w:hint="cs"/>
          <w:color w:val="000000"/>
          <w:sz w:val="32"/>
          <w:szCs w:val="32"/>
          <w:rtl/>
        </w:rPr>
        <w:t>،</w:t>
      </w:r>
      <w:r w:rsidRPr="00703596">
        <w:rPr>
          <w:rFonts w:ascii="Traditional Arabic" w:hAnsi="Traditional Arabic" w:cs="Traditional Arabic"/>
          <w:sz w:val="24"/>
          <w:szCs w:val="24"/>
          <w:rtl/>
        </w:rPr>
        <w:t xml:space="preserve"> </w:t>
      </w:r>
      <w:r w:rsidRPr="00703596">
        <w:rPr>
          <w:rFonts w:ascii="Traditional Arabic" w:hAnsi="Traditional Arabic" w:cs="Traditional Arabic" w:hint="cs"/>
          <w:sz w:val="32"/>
          <w:szCs w:val="32"/>
          <w:rtl/>
        </w:rPr>
        <w:t>ثم</w:t>
      </w:r>
      <w:r w:rsidRPr="00703596">
        <w:rPr>
          <w:rFonts w:ascii="Traditional Arabic" w:hAnsi="Traditional Arabic" w:cs="Traditional Arabic"/>
          <w:sz w:val="32"/>
          <w:szCs w:val="32"/>
          <w:rtl/>
        </w:rPr>
        <w:t xml:space="preserve"> في </w:t>
      </w:r>
      <w:r w:rsidRPr="00703596">
        <w:rPr>
          <w:rFonts w:ascii="Traditional Arabic" w:hAnsi="Traditional Arabic" w:cs="Traditional Arabic"/>
          <w:sz w:val="24"/>
          <w:szCs w:val="24"/>
          <w:rtl/>
        </w:rPr>
        <w:t xml:space="preserve">31 </w:t>
      </w:r>
      <w:r w:rsidRPr="00703596">
        <w:rPr>
          <w:rFonts w:ascii="Traditional Arabic" w:hAnsi="Traditional Arabic" w:cs="Traditional Arabic"/>
          <w:sz w:val="32"/>
          <w:szCs w:val="32"/>
          <w:rtl/>
        </w:rPr>
        <w:t>أكتوبر</w:t>
      </w:r>
      <w:r w:rsidRPr="00703596">
        <w:rPr>
          <w:rFonts w:ascii="Traditional Arabic" w:hAnsi="Traditional Arabic" w:cs="Traditional Arabic"/>
          <w:sz w:val="24"/>
          <w:szCs w:val="24"/>
          <w:rtl/>
        </w:rPr>
        <w:t>2008</w:t>
      </w:r>
      <w:r w:rsidRPr="00703596">
        <w:rPr>
          <w:rFonts w:ascii="Traditional Arabic" w:hAnsi="Traditional Arabic" w:cs="Traditional Arabic"/>
          <w:sz w:val="32"/>
          <w:szCs w:val="32"/>
          <w:rtl/>
        </w:rPr>
        <w:t xml:space="preserve"> إلى </w:t>
      </w:r>
      <w:r w:rsidRPr="00703596">
        <w:rPr>
          <w:rFonts w:ascii="Traditional Arabic" w:hAnsi="Traditional Arabic" w:cs="Traditional Arabic"/>
          <w:sz w:val="24"/>
          <w:szCs w:val="24"/>
          <w:rtl/>
        </w:rPr>
        <w:t>1</w:t>
      </w:r>
      <w:r w:rsidRPr="00703596">
        <w:rPr>
          <w:rFonts w:ascii="Traditional Arabic" w:hAnsi="Traditional Arabic" w:cs="Traditional Arabic"/>
          <w:sz w:val="32"/>
          <w:szCs w:val="32"/>
          <w:rtl/>
        </w:rPr>
        <w:t xml:space="preserve">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بالنسبة لمعدل البنك المركزي الأوروبي كان </w:t>
      </w:r>
      <w:r w:rsidRPr="00703596">
        <w:rPr>
          <w:rFonts w:ascii="Traditional Arabic" w:hAnsi="Traditional Arabic" w:cs="Traditional Arabic"/>
          <w:sz w:val="24"/>
          <w:szCs w:val="24"/>
          <w:rtl/>
        </w:rPr>
        <w:t>4.25</w:t>
      </w:r>
      <w:r w:rsidRPr="00703596">
        <w:rPr>
          <w:rFonts w:ascii="Traditional Arabic" w:hAnsi="Traditional Arabic" w:cs="Traditional Arabic"/>
          <w:sz w:val="32"/>
          <w:szCs w:val="32"/>
          <w:rtl/>
        </w:rPr>
        <w:t xml:space="preserve">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تم تخفيضه إلى </w:t>
      </w:r>
      <w:r w:rsidRPr="00703596">
        <w:rPr>
          <w:rFonts w:ascii="Traditional Arabic" w:hAnsi="Traditional Arabic" w:cs="Traditional Arabic"/>
          <w:sz w:val="24"/>
          <w:szCs w:val="24"/>
          <w:rtl/>
        </w:rPr>
        <w:t>3.75</w:t>
      </w:r>
      <w:r w:rsidRPr="00703596">
        <w:rPr>
          <w:rFonts w:ascii="Traditional Arabic" w:hAnsi="Traditional Arabic" w:cs="Traditional Arabic"/>
          <w:sz w:val="32"/>
          <w:szCs w:val="32"/>
          <w:rtl/>
        </w:rPr>
        <w:t xml:space="preserve">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w:t>
      </w:r>
      <w:r w:rsidR="005E0BA9">
        <w:rPr>
          <w:rFonts w:ascii="Traditional Arabic" w:hAnsi="Traditional Arabic" w:cs="Traditional Arabic" w:hint="cs"/>
          <w:sz w:val="32"/>
          <w:szCs w:val="32"/>
          <w:rtl/>
        </w:rPr>
        <w:t>في</w:t>
      </w:r>
      <w:r w:rsidRPr="00703596">
        <w:rPr>
          <w:rFonts w:ascii="Traditional Arabic" w:hAnsi="Traditional Arabic" w:cs="Traditional Arabic"/>
          <w:sz w:val="32"/>
          <w:szCs w:val="32"/>
          <w:rtl/>
        </w:rPr>
        <w:t xml:space="preserve"> </w:t>
      </w:r>
      <w:r w:rsidRPr="00703596">
        <w:rPr>
          <w:rFonts w:ascii="Traditional Arabic" w:hAnsi="Traditional Arabic" w:cs="Traditional Arabic"/>
          <w:sz w:val="24"/>
          <w:szCs w:val="24"/>
          <w:rtl/>
        </w:rPr>
        <w:t xml:space="preserve">08 </w:t>
      </w:r>
      <w:r w:rsidRPr="00703596">
        <w:rPr>
          <w:rFonts w:ascii="Traditional Arabic" w:hAnsi="Traditional Arabic" w:cs="Traditional Arabic"/>
          <w:sz w:val="32"/>
          <w:szCs w:val="32"/>
          <w:rtl/>
        </w:rPr>
        <w:t xml:space="preserve">أكتوبر </w:t>
      </w:r>
      <w:r w:rsidRPr="00703596">
        <w:rPr>
          <w:rFonts w:ascii="Traditional Arabic" w:hAnsi="Traditional Arabic" w:cs="Traditional Arabic"/>
          <w:sz w:val="24"/>
          <w:szCs w:val="24"/>
          <w:rtl/>
        </w:rPr>
        <w:t>2008</w:t>
      </w:r>
      <w:r w:rsidR="00650D78" w:rsidRPr="005C1F09">
        <w:rPr>
          <w:rFonts w:ascii="Traditional Arabic" w:hAnsi="Traditional Arabic" w:cs="Traditional Arabic" w:hint="cs"/>
          <w:sz w:val="32"/>
          <w:szCs w:val="32"/>
          <w:rtl/>
        </w:rPr>
        <w:t>،</w:t>
      </w:r>
      <w:r w:rsidR="00650D78">
        <w:rPr>
          <w:rFonts w:ascii="Traditional Arabic" w:hAnsi="Traditional Arabic" w:cs="Traditional Arabic" w:hint="cs"/>
          <w:sz w:val="24"/>
          <w:szCs w:val="24"/>
          <w:rtl/>
        </w:rPr>
        <w:t xml:space="preserve"> </w:t>
      </w:r>
      <w:r w:rsidR="005C1F09" w:rsidRPr="005C1F09">
        <w:rPr>
          <w:rFonts w:ascii="Traditional Arabic" w:hAnsi="Traditional Arabic" w:cs="Traditional Arabic" w:hint="cs"/>
          <w:sz w:val="32"/>
          <w:szCs w:val="32"/>
          <w:rtl/>
        </w:rPr>
        <w:t xml:space="preserve">ليصبح </w:t>
      </w:r>
      <w:r w:rsidR="005C1F09">
        <w:rPr>
          <w:rFonts w:ascii="Traditional Arabic" w:hAnsi="Traditional Arabic" w:cs="Traditional Arabic" w:hint="cs"/>
          <w:sz w:val="24"/>
          <w:szCs w:val="24"/>
          <w:rtl/>
        </w:rPr>
        <w:t>1.5</w:t>
      </w:r>
      <w:r w:rsidR="005C1F09">
        <w:rPr>
          <w:rFonts w:ascii="Traditional Arabic" w:hAnsi="Traditional Arabic" w:cs="Traditional Arabic"/>
          <w:sz w:val="24"/>
          <w:szCs w:val="24"/>
          <w:rtl/>
        </w:rPr>
        <w:t>%</w:t>
      </w:r>
      <w:r w:rsidR="005C1F09">
        <w:rPr>
          <w:rFonts w:ascii="Traditional Arabic" w:hAnsi="Traditional Arabic" w:cs="Traditional Arabic" w:hint="cs"/>
          <w:sz w:val="24"/>
          <w:szCs w:val="24"/>
          <w:rtl/>
        </w:rPr>
        <w:t xml:space="preserve"> </w:t>
      </w:r>
      <w:r w:rsidR="005C1F09" w:rsidRPr="005C1F09">
        <w:rPr>
          <w:rFonts w:ascii="Traditional Arabic" w:hAnsi="Traditional Arabic" w:cs="Traditional Arabic" w:hint="cs"/>
          <w:sz w:val="32"/>
          <w:szCs w:val="32"/>
          <w:rtl/>
        </w:rPr>
        <w:t xml:space="preserve">في </w:t>
      </w:r>
      <w:r w:rsidR="005C1F09">
        <w:rPr>
          <w:rFonts w:ascii="Traditional Arabic" w:hAnsi="Traditional Arabic" w:cs="Traditional Arabic" w:hint="cs"/>
          <w:sz w:val="24"/>
          <w:szCs w:val="24"/>
          <w:rtl/>
        </w:rPr>
        <w:t xml:space="preserve">5 </w:t>
      </w:r>
      <w:r w:rsidR="005C1F09" w:rsidRPr="005C1F09">
        <w:rPr>
          <w:rFonts w:ascii="Traditional Arabic" w:hAnsi="Traditional Arabic" w:cs="Traditional Arabic" w:hint="cs"/>
          <w:sz w:val="32"/>
          <w:szCs w:val="32"/>
          <w:rtl/>
        </w:rPr>
        <w:t xml:space="preserve">مارس </w:t>
      </w:r>
      <w:r w:rsidR="005C1F09">
        <w:rPr>
          <w:rFonts w:ascii="Traditional Arabic" w:hAnsi="Traditional Arabic" w:cs="Traditional Arabic" w:hint="cs"/>
          <w:sz w:val="24"/>
          <w:szCs w:val="24"/>
          <w:rtl/>
        </w:rPr>
        <w:t>2009</w:t>
      </w:r>
      <w:r w:rsidR="00650D78">
        <w:rPr>
          <w:rFonts w:ascii="Traditional Arabic" w:hAnsi="Traditional Arabic" w:cs="Traditional Arabic" w:hint="cs"/>
          <w:sz w:val="24"/>
          <w:szCs w:val="24"/>
          <w:rtl/>
        </w:rPr>
        <w:t xml:space="preserve"> </w:t>
      </w:r>
      <w:r w:rsidRPr="00703596">
        <w:rPr>
          <w:rFonts w:ascii="Traditional Arabic" w:hAnsi="Traditional Arabic" w:cs="Traditional Arabic"/>
          <w:sz w:val="32"/>
          <w:szCs w:val="32"/>
          <w:rtl/>
        </w:rPr>
        <w:t xml:space="preserve">. معدل بنك انجلترا كان </w:t>
      </w:r>
      <w:r w:rsidRPr="00703596">
        <w:rPr>
          <w:rFonts w:ascii="Traditional Arabic" w:hAnsi="Traditional Arabic" w:cs="Traditional Arabic"/>
          <w:sz w:val="24"/>
          <w:szCs w:val="24"/>
          <w:rtl/>
        </w:rPr>
        <w:t>5</w:t>
      </w:r>
      <w:r w:rsidRPr="00703596">
        <w:rPr>
          <w:rFonts w:ascii="Traditional Arabic" w:hAnsi="Traditional Arabic" w:cs="Traditional Arabic"/>
          <w:sz w:val="32"/>
          <w:szCs w:val="32"/>
          <w:rtl/>
        </w:rPr>
        <w:t xml:space="preserve">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وانخفض </w:t>
      </w:r>
      <w:r w:rsidR="00F464FC">
        <w:rPr>
          <w:rFonts w:ascii="Traditional Arabic" w:hAnsi="Traditional Arabic" w:cs="Traditional Arabic" w:hint="cs"/>
          <w:sz w:val="32"/>
          <w:szCs w:val="32"/>
          <w:rtl/>
        </w:rPr>
        <w:t>في</w:t>
      </w:r>
      <w:r w:rsidRPr="00703596">
        <w:rPr>
          <w:rFonts w:ascii="Traditional Arabic" w:hAnsi="Traditional Arabic" w:cs="Traditional Arabic"/>
          <w:sz w:val="32"/>
          <w:szCs w:val="32"/>
          <w:rtl/>
        </w:rPr>
        <w:t xml:space="preserve"> </w:t>
      </w:r>
      <w:r w:rsidRPr="00703596">
        <w:rPr>
          <w:rFonts w:ascii="Traditional Arabic" w:hAnsi="Traditional Arabic" w:cs="Traditional Arabic"/>
          <w:sz w:val="24"/>
          <w:szCs w:val="24"/>
          <w:rtl/>
        </w:rPr>
        <w:t>08</w:t>
      </w:r>
      <w:r w:rsidRPr="00703596">
        <w:rPr>
          <w:rFonts w:ascii="Traditional Arabic" w:hAnsi="Traditional Arabic" w:cs="Traditional Arabic"/>
          <w:sz w:val="32"/>
          <w:szCs w:val="32"/>
          <w:rtl/>
        </w:rPr>
        <w:t xml:space="preserve"> أكتوبر </w:t>
      </w:r>
      <w:r w:rsidRPr="00703596">
        <w:rPr>
          <w:rFonts w:ascii="Traditional Arabic" w:hAnsi="Traditional Arabic" w:cs="Traditional Arabic"/>
          <w:sz w:val="24"/>
          <w:szCs w:val="24"/>
          <w:rtl/>
        </w:rPr>
        <w:t>2008</w:t>
      </w:r>
      <w:r w:rsidRPr="00703596">
        <w:rPr>
          <w:rFonts w:ascii="Traditional Arabic" w:hAnsi="Traditional Arabic" w:cs="Traditional Arabic"/>
          <w:sz w:val="32"/>
          <w:szCs w:val="32"/>
          <w:rtl/>
        </w:rPr>
        <w:t xml:space="preserve"> إلى </w:t>
      </w:r>
      <w:r w:rsidRPr="00703596">
        <w:rPr>
          <w:rFonts w:ascii="Traditional Arabic" w:hAnsi="Traditional Arabic" w:cs="Traditional Arabic"/>
          <w:sz w:val="24"/>
          <w:szCs w:val="24"/>
          <w:rtl/>
        </w:rPr>
        <w:t xml:space="preserve">4.50 </w:t>
      </w:r>
      <w:r w:rsidRPr="00703596">
        <w:rPr>
          <w:rFonts w:ascii="Traditional Arabic" w:eastAsia="Times New Roman" w:hAnsi="Traditional Arabic" w:cs="Traditional Arabic"/>
          <w:color w:val="000000"/>
          <w:sz w:val="24"/>
          <w:szCs w:val="24"/>
          <w:rtl/>
        </w:rPr>
        <w:t>%</w:t>
      </w:r>
      <w:r w:rsidR="00E976F8">
        <w:rPr>
          <w:rFonts w:ascii="Traditional Arabic" w:hAnsi="Traditional Arabic" w:cs="Traditional Arabic" w:hint="cs"/>
          <w:sz w:val="32"/>
          <w:szCs w:val="32"/>
          <w:rtl/>
        </w:rPr>
        <w:t>.</w:t>
      </w:r>
      <w:r w:rsidRPr="00703596">
        <w:rPr>
          <w:rFonts w:ascii="Traditional Arabic" w:hAnsi="Traditional Arabic" w:cs="Traditional Arabic"/>
          <w:sz w:val="32"/>
          <w:szCs w:val="32"/>
          <w:rtl/>
        </w:rPr>
        <w:t xml:space="preserve"> بالنسبة للإيداعات الموضوعة في</w:t>
      </w:r>
      <w:r w:rsidRPr="00703596">
        <w:rPr>
          <w:rFonts w:ascii="Traditional Arabic" w:hAnsi="Traditional Arabic" w:cs="Traditional Arabic" w:hint="cs"/>
          <w:sz w:val="32"/>
          <w:szCs w:val="32"/>
          <w:rtl/>
        </w:rPr>
        <w:t xml:space="preserve"> بنك</w:t>
      </w:r>
      <w:r w:rsidRPr="00703596">
        <w:rPr>
          <w:rFonts w:ascii="Traditional Arabic" w:hAnsi="Traditional Arabic" w:cs="Traditional Arabic"/>
          <w:sz w:val="32"/>
          <w:szCs w:val="32"/>
          <w:rtl/>
        </w:rPr>
        <w:t xml:space="preserve"> اليابان، وهذا معناه إدارة سيئة للغاية لاحتياطاتنا، المساهمة في تمويل الشركات اليابانية بمعدل قريب من الصفر (</w:t>
      </w:r>
      <w:r w:rsidRPr="00703596">
        <w:rPr>
          <w:rFonts w:ascii="Traditional Arabic" w:hAnsi="Traditional Arabic" w:cs="Traditional Arabic" w:hint="cs"/>
          <w:sz w:val="32"/>
          <w:szCs w:val="32"/>
          <w:rtl/>
        </w:rPr>
        <w:t xml:space="preserve"> في هذه الحالة </w:t>
      </w:r>
      <w:r w:rsidRPr="00703596">
        <w:rPr>
          <w:rFonts w:ascii="Traditional Arabic" w:hAnsi="Traditional Arabic" w:cs="Traditional Arabic"/>
          <w:sz w:val="32"/>
          <w:szCs w:val="32"/>
          <w:rtl/>
        </w:rPr>
        <w:t xml:space="preserve">لا يمكن إلا </w:t>
      </w:r>
      <w:r w:rsidRPr="00703596">
        <w:rPr>
          <w:rFonts w:ascii="Traditional Arabic" w:hAnsi="Traditional Arabic" w:cs="Traditional Arabic" w:hint="cs"/>
          <w:sz w:val="32"/>
          <w:szCs w:val="32"/>
          <w:rtl/>
        </w:rPr>
        <w:t xml:space="preserve">المراهنة </w:t>
      </w:r>
      <w:r w:rsidRPr="00703596">
        <w:rPr>
          <w:rFonts w:ascii="Traditional Arabic" w:hAnsi="Traditional Arabic" w:cs="Traditional Arabic"/>
          <w:sz w:val="32"/>
          <w:szCs w:val="32"/>
          <w:rtl/>
        </w:rPr>
        <w:t>على ارتفاع قيمة عملة الين مقابل الدولار) لأن المعدل</w:t>
      </w:r>
      <w:r w:rsidRPr="00703596">
        <w:rPr>
          <w:rFonts w:ascii="Traditional Arabic" w:hAnsi="Traditional Arabic" w:cs="Traditional Arabic" w:hint="cs"/>
          <w:sz w:val="32"/>
          <w:szCs w:val="32"/>
          <w:rtl/>
        </w:rPr>
        <w:t xml:space="preserve"> الأساسي</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لل</w:t>
      </w:r>
      <w:r w:rsidRPr="00703596">
        <w:rPr>
          <w:rFonts w:ascii="Traditional Arabic" w:hAnsi="Traditional Arabic" w:cs="Traditional Arabic"/>
          <w:sz w:val="32"/>
          <w:szCs w:val="32"/>
          <w:rtl/>
        </w:rPr>
        <w:t xml:space="preserve">بنك </w:t>
      </w:r>
      <w:r w:rsidRPr="00703596">
        <w:rPr>
          <w:rFonts w:ascii="Traditional Arabic" w:hAnsi="Traditional Arabic" w:cs="Traditional Arabic" w:hint="cs"/>
          <w:sz w:val="32"/>
          <w:szCs w:val="32"/>
          <w:rtl/>
        </w:rPr>
        <w:t xml:space="preserve">المركزي </w:t>
      </w:r>
      <w:r w:rsidRPr="00703596">
        <w:rPr>
          <w:rFonts w:ascii="Traditional Arabic" w:hAnsi="Traditional Arabic" w:cs="Traditional Arabic"/>
          <w:sz w:val="32"/>
          <w:szCs w:val="32"/>
          <w:rtl/>
        </w:rPr>
        <w:t>اليابان</w:t>
      </w:r>
      <w:r w:rsidRPr="00703596">
        <w:rPr>
          <w:rFonts w:ascii="Traditional Arabic" w:hAnsi="Traditional Arabic" w:cs="Traditional Arabic" w:hint="cs"/>
          <w:sz w:val="32"/>
          <w:szCs w:val="32"/>
          <w:rtl/>
        </w:rPr>
        <w:t xml:space="preserve">ي </w:t>
      </w:r>
      <w:r w:rsidRPr="00703596">
        <w:rPr>
          <w:rFonts w:ascii="Traditional Arabic" w:hAnsi="Traditional Arabic" w:cs="Traditional Arabic"/>
          <w:sz w:val="32"/>
          <w:szCs w:val="32"/>
          <w:rtl/>
        </w:rPr>
        <w:t xml:space="preserve">لم يتغير منذ </w:t>
      </w:r>
      <w:r w:rsidRPr="00703596">
        <w:rPr>
          <w:rFonts w:ascii="Traditional Arabic" w:hAnsi="Traditional Arabic" w:cs="Traditional Arabic" w:hint="cs"/>
          <w:sz w:val="32"/>
          <w:szCs w:val="32"/>
          <w:rtl/>
        </w:rPr>
        <w:t>فيفري</w:t>
      </w:r>
      <w:r w:rsidRPr="00703596">
        <w:rPr>
          <w:rFonts w:ascii="Traditional Arabic" w:hAnsi="Traditional Arabic" w:cs="Traditional Arabic"/>
          <w:sz w:val="32"/>
          <w:szCs w:val="32"/>
          <w:rtl/>
        </w:rPr>
        <w:t xml:space="preserve"> عام </w:t>
      </w:r>
      <w:r w:rsidRPr="00703596">
        <w:rPr>
          <w:rFonts w:ascii="Traditional Arabic" w:hAnsi="Traditional Arabic" w:cs="Traditional Arabic"/>
          <w:sz w:val="24"/>
          <w:szCs w:val="24"/>
          <w:rtl/>
        </w:rPr>
        <w:t>2002</w:t>
      </w:r>
      <w:r w:rsidRPr="00703596">
        <w:rPr>
          <w:rFonts w:ascii="Traditional Arabic" w:hAnsi="Traditional Arabic" w:cs="Traditional Arabic"/>
          <w:sz w:val="32"/>
          <w:szCs w:val="32"/>
          <w:rtl/>
        </w:rPr>
        <w:t xml:space="preserve"> وذلك ب</w:t>
      </w:r>
      <w:r w:rsidRPr="00703596">
        <w:rPr>
          <w:rFonts w:ascii="Traditional Arabic" w:hAnsi="Traditional Arabic" w:cs="Traditional Arabic" w:hint="cs"/>
          <w:sz w:val="32"/>
          <w:szCs w:val="32"/>
          <w:rtl/>
        </w:rPr>
        <w:t>م</w:t>
      </w:r>
      <w:r w:rsidRPr="00703596">
        <w:rPr>
          <w:rFonts w:ascii="Traditional Arabic" w:hAnsi="Traditional Arabic" w:cs="Traditional Arabic"/>
          <w:sz w:val="32"/>
          <w:szCs w:val="32"/>
          <w:rtl/>
        </w:rPr>
        <w:t xml:space="preserve">عدل أساسي </w:t>
      </w:r>
      <w:r w:rsidRPr="00703596">
        <w:rPr>
          <w:rFonts w:ascii="Traditional Arabic" w:hAnsi="Traditional Arabic" w:cs="Traditional Arabic"/>
          <w:sz w:val="24"/>
          <w:szCs w:val="24"/>
          <w:rtl/>
        </w:rPr>
        <w:t>0.50</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والذي </w:t>
      </w:r>
      <w:r w:rsidRPr="00703596">
        <w:rPr>
          <w:rFonts w:ascii="Traditional Arabic" w:hAnsi="Traditional Arabic" w:cs="Traditional Arabic" w:hint="cs"/>
          <w:sz w:val="32"/>
          <w:szCs w:val="32"/>
          <w:rtl/>
        </w:rPr>
        <w:t>تم</w:t>
      </w:r>
      <w:r w:rsidRPr="00703596">
        <w:rPr>
          <w:rFonts w:ascii="Traditional Arabic" w:hAnsi="Traditional Arabic" w:cs="Traditional Arabic"/>
          <w:sz w:val="32"/>
          <w:szCs w:val="32"/>
          <w:rtl/>
        </w:rPr>
        <w:t xml:space="preserve"> تخفيضه منذ </w:t>
      </w:r>
      <w:r w:rsidRPr="00703596">
        <w:rPr>
          <w:rFonts w:ascii="Traditional Arabic" w:hAnsi="Traditional Arabic" w:cs="Traditional Arabic"/>
          <w:sz w:val="24"/>
          <w:szCs w:val="24"/>
          <w:rtl/>
        </w:rPr>
        <w:t>31</w:t>
      </w:r>
      <w:r w:rsidRPr="00703596">
        <w:rPr>
          <w:rFonts w:ascii="Traditional Arabic" w:hAnsi="Traditional Arabic" w:cs="Traditional Arabic"/>
          <w:sz w:val="32"/>
          <w:szCs w:val="32"/>
          <w:rtl/>
        </w:rPr>
        <w:t xml:space="preserve"> أكتوبر </w:t>
      </w:r>
      <w:r w:rsidRPr="00703596">
        <w:rPr>
          <w:rFonts w:ascii="Traditional Arabic" w:hAnsi="Traditional Arabic" w:cs="Traditional Arabic"/>
          <w:sz w:val="24"/>
          <w:szCs w:val="24"/>
          <w:rtl/>
        </w:rPr>
        <w:t xml:space="preserve">2008 </w:t>
      </w:r>
      <w:r w:rsidRPr="00703596">
        <w:rPr>
          <w:rFonts w:ascii="Traditional Arabic" w:hAnsi="Traditional Arabic" w:cs="Traditional Arabic"/>
          <w:sz w:val="32"/>
          <w:szCs w:val="32"/>
          <w:rtl/>
        </w:rPr>
        <w:t xml:space="preserve">إلى </w:t>
      </w:r>
      <w:r w:rsidRPr="00703596">
        <w:rPr>
          <w:rFonts w:ascii="Traditional Arabic" w:hAnsi="Traditional Arabic" w:cs="Traditional Arabic"/>
          <w:sz w:val="24"/>
          <w:szCs w:val="24"/>
          <w:rtl/>
        </w:rPr>
        <w:t>0.30</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 xml:space="preserve">   </w:t>
      </w:r>
    </w:p>
    <w:p w:rsidR="00B35CF7" w:rsidRPr="003F1DD3" w:rsidRDefault="00B35CF7" w:rsidP="003F1DD3">
      <w:pPr>
        <w:tabs>
          <w:tab w:val="right" w:pos="567"/>
        </w:tabs>
        <w:bidi/>
        <w:jc w:val="both"/>
        <w:rPr>
          <w:rFonts w:ascii="Traditional Arabic" w:hAnsi="Traditional Arabic" w:cs="Traditional Arabic"/>
          <w:sz w:val="24"/>
          <w:szCs w:val="24"/>
          <w:rtl/>
        </w:rPr>
      </w:pPr>
      <w:r>
        <w:rPr>
          <w:rFonts w:ascii="Traditional Arabic" w:hAnsi="Traditional Arabic" w:cs="Traditional Arabic" w:hint="cs"/>
          <w:sz w:val="32"/>
          <w:szCs w:val="32"/>
          <w:rtl/>
        </w:rPr>
        <w:lastRenderedPageBreak/>
        <w:t xml:space="preserve">  </w:t>
      </w:r>
      <w:r w:rsidRPr="00703596">
        <w:rPr>
          <w:rFonts w:ascii="Traditional Arabic" w:hAnsi="Traditional Arabic" w:cs="Traditional Arabic" w:hint="cs"/>
          <w:sz w:val="32"/>
          <w:szCs w:val="32"/>
          <w:rtl/>
        </w:rPr>
        <w:t xml:space="preserve">     </w:t>
      </w:r>
      <w:r w:rsidRPr="00703596">
        <w:rPr>
          <w:rFonts w:ascii="Traditional Arabic" w:hAnsi="Traditional Arabic" w:cs="Traditional Arabic"/>
          <w:sz w:val="32"/>
          <w:szCs w:val="32"/>
          <w:rtl/>
        </w:rPr>
        <w:t>انسحاب قبل الآجال لهذه المبالغ من خلال العقود المصرفية الدولية يؤدي إل</w:t>
      </w:r>
      <w:r>
        <w:rPr>
          <w:rFonts w:ascii="Traditional Arabic" w:hAnsi="Traditional Arabic" w:cs="Traditional Arabic"/>
          <w:sz w:val="32"/>
          <w:szCs w:val="32"/>
          <w:rtl/>
        </w:rPr>
        <w:t>ى خسارة في الإيرادات من الفوائد</w:t>
      </w:r>
      <w:r>
        <w:rPr>
          <w:rFonts w:ascii="Traditional Arabic" w:hAnsi="Traditional Arabic" w:cs="Traditional Arabic" w:hint="cs"/>
          <w:sz w:val="32"/>
          <w:szCs w:val="32"/>
          <w:rtl/>
        </w:rPr>
        <w:t>،</w:t>
      </w:r>
      <w:r w:rsidRPr="00703596">
        <w:rPr>
          <w:rFonts w:ascii="Traditional Arabic" w:hAnsi="Traditional Arabic" w:cs="Traditional Arabic"/>
          <w:sz w:val="32"/>
          <w:szCs w:val="32"/>
          <w:rtl/>
        </w:rPr>
        <w:t xml:space="preserve"> الأمر كما لو أنك </w:t>
      </w:r>
      <w:r w:rsidRPr="00703596">
        <w:rPr>
          <w:rFonts w:ascii="Traditional Arabic" w:hAnsi="Traditional Arabic" w:cs="Traditional Arabic" w:hint="cs"/>
          <w:sz w:val="32"/>
          <w:szCs w:val="32"/>
          <w:rtl/>
        </w:rPr>
        <w:t>تقرض</w:t>
      </w:r>
      <w:r w:rsidRPr="00703596">
        <w:rPr>
          <w:rFonts w:ascii="Traditional Arabic" w:hAnsi="Traditional Arabic" w:cs="Traditional Arabic"/>
          <w:sz w:val="32"/>
          <w:szCs w:val="32"/>
          <w:rtl/>
        </w:rPr>
        <w:t xml:space="preserve"> أموالك </w:t>
      </w:r>
      <w:r w:rsidRPr="00703596">
        <w:rPr>
          <w:rFonts w:ascii="Traditional Arabic" w:hAnsi="Traditional Arabic" w:cs="Traditional Arabic" w:hint="cs"/>
          <w:sz w:val="32"/>
          <w:szCs w:val="32"/>
          <w:rtl/>
        </w:rPr>
        <w:t>ل</w:t>
      </w:r>
      <w:r w:rsidRPr="00703596">
        <w:rPr>
          <w:rFonts w:ascii="Traditional Arabic" w:hAnsi="Traditional Arabic" w:cs="Traditional Arabic"/>
          <w:sz w:val="32"/>
          <w:szCs w:val="32"/>
          <w:rtl/>
        </w:rPr>
        <w:t xml:space="preserve">بنك ابتدائي بمعدل </w:t>
      </w:r>
      <w:r w:rsidRPr="00703596">
        <w:rPr>
          <w:rFonts w:ascii="Traditional Arabic" w:hAnsi="Traditional Arabic" w:cs="Traditional Arabic"/>
          <w:sz w:val="24"/>
          <w:szCs w:val="24"/>
          <w:rtl/>
        </w:rPr>
        <w:t xml:space="preserve">6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32"/>
          <w:szCs w:val="32"/>
          <w:rtl/>
        </w:rPr>
        <w:t xml:space="preserve"> لمدة </w:t>
      </w:r>
      <w:r w:rsidRPr="00703596">
        <w:rPr>
          <w:rFonts w:ascii="Traditional Arabic" w:hAnsi="Traditional Arabic" w:cs="Traditional Arabic"/>
          <w:sz w:val="24"/>
          <w:szCs w:val="24"/>
          <w:rtl/>
        </w:rPr>
        <w:t>5</w:t>
      </w:r>
      <w:r w:rsidRPr="00703596">
        <w:rPr>
          <w:rFonts w:ascii="Traditional Arabic" w:hAnsi="Traditional Arabic" w:cs="Traditional Arabic"/>
          <w:sz w:val="32"/>
          <w:szCs w:val="32"/>
          <w:rtl/>
        </w:rPr>
        <w:t xml:space="preserve"> سنوات، وتسحبه بعد سنة واحدة، المصرفي لا يطبق </w:t>
      </w:r>
      <w:r w:rsidRPr="00703596">
        <w:rPr>
          <w:rFonts w:ascii="Traditional Arabic" w:hAnsi="Traditional Arabic" w:cs="Traditional Arabic"/>
          <w:sz w:val="24"/>
          <w:szCs w:val="24"/>
          <w:rtl/>
        </w:rPr>
        <w:t xml:space="preserve">6 </w:t>
      </w:r>
      <w:r w:rsidRPr="00703596">
        <w:rPr>
          <w:rFonts w:ascii="Traditional Arabic" w:eastAsia="Times New Roman" w:hAnsi="Traditional Arabic" w:cs="Traditional Arabic"/>
          <w:color w:val="000000"/>
          <w:sz w:val="24"/>
          <w:szCs w:val="24"/>
          <w:rtl/>
        </w:rPr>
        <w:t>%</w:t>
      </w:r>
      <w:r>
        <w:rPr>
          <w:rFonts w:ascii="Traditional Arabic" w:hAnsi="Traditional Arabic" w:cs="Traditional Arabic" w:hint="cs"/>
          <w:sz w:val="32"/>
          <w:szCs w:val="32"/>
          <w:rtl/>
        </w:rPr>
        <w:t>،</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ف</w:t>
      </w:r>
      <w:r w:rsidRPr="00703596">
        <w:rPr>
          <w:rFonts w:ascii="Traditional Arabic" w:hAnsi="Traditional Arabic" w:cs="Traditional Arabic"/>
          <w:sz w:val="32"/>
          <w:szCs w:val="32"/>
          <w:rtl/>
        </w:rPr>
        <w:t xml:space="preserve">سحب </w:t>
      </w:r>
      <w:r w:rsidRPr="00703596">
        <w:rPr>
          <w:rFonts w:ascii="Traditional Arabic" w:hAnsi="Traditional Arabic" w:cs="Traditional Arabic"/>
          <w:sz w:val="24"/>
          <w:szCs w:val="24"/>
          <w:rtl/>
        </w:rPr>
        <w:t>43</w:t>
      </w:r>
      <w:r w:rsidRPr="00703596">
        <w:rPr>
          <w:rFonts w:ascii="Traditional Arabic" w:hAnsi="Traditional Arabic" w:cs="Traditional Arabic"/>
          <w:sz w:val="32"/>
          <w:szCs w:val="32"/>
          <w:rtl/>
        </w:rPr>
        <w:t xml:space="preserve"> مليار </w:t>
      </w:r>
      <w:r w:rsidRPr="00703596">
        <w:rPr>
          <w:rFonts w:ascii="Traditional Arabic" w:hAnsi="Traditional Arabic" w:cs="Traditional Arabic" w:hint="cs"/>
          <w:sz w:val="32"/>
          <w:szCs w:val="32"/>
          <w:rtl/>
        </w:rPr>
        <w:t>دولار</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 xml:space="preserve">الموظفة على شكل </w:t>
      </w:r>
      <w:r w:rsidRPr="00703596">
        <w:rPr>
          <w:rFonts w:ascii="Traditional Arabic" w:hAnsi="Traditional Arabic" w:cs="Traditional Arabic"/>
          <w:sz w:val="32"/>
          <w:szCs w:val="32"/>
          <w:rtl/>
        </w:rPr>
        <w:t xml:space="preserve">سندات الخزانة الأمريكية وغيرها من المبالغ </w:t>
      </w:r>
      <w:r w:rsidRPr="00703596">
        <w:rPr>
          <w:rFonts w:ascii="Traditional Arabic" w:hAnsi="Traditional Arabic" w:cs="Traditional Arabic" w:hint="cs"/>
          <w:sz w:val="32"/>
          <w:szCs w:val="32"/>
          <w:rtl/>
        </w:rPr>
        <w:t>الموظفة</w:t>
      </w:r>
      <w:r w:rsidRPr="00703596">
        <w:rPr>
          <w:rFonts w:ascii="Traditional Arabic" w:hAnsi="Traditional Arabic" w:cs="Traditional Arabic"/>
          <w:sz w:val="32"/>
          <w:szCs w:val="32"/>
          <w:rtl/>
        </w:rPr>
        <w:t xml:space="preserve"> في البنوك المركزية الأخرى </w:t>
      </w:r>
      <w:r w:rsidRPr="00703596">
        <w:rPr>
          <w:rFonts w:ascii="Traditional Arabic" w:hAnsi="Traditional Arabic" w:cs="Traditional Arabic" w:hint="cs"/>
          <w:sz w:val="32"/>
          <w:szCs w:val="32"/>
          <w:rtl/>
        </w:rPr>
        <w:t>ب</w:t>
      </w:r>
      <w:r w:rsidRPr="00703596">
        <w:rPr>
          <w:rFonts w:ascii="Traditional Arabic" w:hAnsi="Traditional Arabic" w:cs="Traditional Arabic"/>
          <w:sz w:val="32"/>
          <w:szCs w:val="32"/>
          <w:rtl/>
        </w:rPr>
        <w:t>بيع السندات في السوق المالي</w:t>
      </w:r>
      <w:r w:rsidRPr="00703596">
        <w:rPr>
          <w:rFonts w:ascii="Traditional Arabic" w:hAnsi="Traditional Arabic" w:cs="Traditional Arabic" w:hint="cs"/>
          <w:sz w:val="32"/>
          <w:szCs w:val="32"/>
          <w:rtl/>
        </w:rPr>
        <w:t>،</w:t>
      </w:r>
      <w:r w:rsidRPr="00703596">
        <w:rPr>
          <w:rFonts w:ascii="Traditional Arabic" w:hAnsi="Traditional Arabic" w:cs="Traditional Arabic"/>
          <w:sz w:val="32"/>
          <w:szCs w:val="32"/>
          <w:rtl/>
        </w:rPr>
        <w:t xml:space="preserve"> مع الأزمة الحالية </w:t>
      </w:r>
      <w:r w:rsidRPr="00703596">
        <w:rPr>
          <w:rFonts w:ascii="Traditional Arabic" w:hAnsi="Traditional Arabic" w:cs="Traditional Arabic" w:hint="cs"/>
          <w:sz w:val="32"/>
          <w:szCs w:val="32"/>
          <w:rtl/>
        </w:rPr>
        <w:t>سي</w:t>
      </w:r>
      <w:r w:rsidRPr="00703596">
        <w:rPr>
          <w:rFonts w:ascii="Traditional Arabic" w:hAnsi="Traditional Arabic" w:cs="Traditional Arabic"/>
          <w:sz w:val="32"/>
          <w:szCs w:val="32"/>
          <w:rtl/>
        </w:rPr>
        <w:t xml:space="preserve">خصم ما بين </w:t>
      </w:r>
      <w:r w:rsidRPr="00703596">
        <w:rPr>
          <w:rFonts w:ascii="Traditional Arabic" w:hAnsi="Traditional Arabic" w:cs="Traditional Arabic"/>
          <w:sz w:val="24"/>
          <w:szCs w:val="24"/>
          <w:rtl/>
        </w:rPr>
        <w:t>20</w:t>
      </w:r>
      <w:r w:rsidRPr="00703596">
        <w:rPr>
          <w:rFonts w:ascii="Traditional Arabic" w:hAnsi="Traditional Arabic" w:cs="Traditional Arabic"/>
          <w:sz w:val="32"/>
          <w:szCs w:val="32"/>
          <w:rtl/>
        </w:rPr>
        <w:t xml:space="preserve"> إلى </w:t>
      </w:r>
      <w:r w:rsidRPr="00703596">
        <w:rPr>
          <w:rFonts w:ascii="Traditional Arabic" w:hAnsi="Traditional Arabic" w:cs="Traditional Arabic"/>
          <w:sz w:val="24"/>
          <w:szCs w:val="24"/>
          <w:rtl/>
        </w:rPr>
        <w:t>30</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24"/>
          <w:szCs w:val="24"/>
          <w:rtl/>
        </w:rPr>
        <w:t xml:space="preserve"> </w:t>
      </w:r>
      <w:r w:rsidRPr="00703596">
        <w:rPr>
          <w:rFonts w:ascii="Traditional Arabic" w:hAnsi="Traditional Arabic" w:cs="Traditional Arabic"/>
          <w:sz w:val="32"/>
          <w:szCs w:val="32"/>
          <w:rtl/>
        </w:rPr>
        <w:t xml:space="preserve">أو أكثر، </w:t>
      </w:r>
      <w:r w:rsidRPr="00703596">
        <w:rPr>
          <w:rFonts w:ascii="Traditional Arabic" w:hAnsi="Traditional Arabic" w:cs="Traditional Arabic" w:hint="cs"/>
          <w:sz w:val="32"/>
          <w:szCs w:val="32"/>
          <w:rtl/>
        </w:rPr>
        <w:t>زيادة على ذلك</w:t>
      </w:r>
      <w:r w:rsidRPr="00703596">
        <w:rPr>
          <w:rFonts w:ascii="Traditional Arabic" w:hAnsi="Traditional Arabic" w:cs="Traditional Arabic"/>
          <w:sz w:val="32"/>
          <w:szCs w:val="32"/>
          <w:rtl/>
        </w:rPr>
        <w:t xml:space="preserve"> انخفاض قيمة الدولار الأمريكي من </w:t>
      </w:r>
      <w:r w:rsidRPr="00703596">
        <w:rPr>
          <w:rFonts w:ascii="Traditional Arabic" w:hAnsi="Traditional Arabic" w:cs="Traditional Arabic"/>
          <w:sz w:val="24"/>
          <w:szCs w:val="24"/>
          <w:rtl/>
        </w:rPr>
        <w:t>30</w:t>
      </w:r>
      <w:r w:rsidRPr="00703596">
        <w:rPr>
          <w:rFonts w:ascii="Traditional Arabic" w:hAnsi="Traditional Arabic" w:cs="Traditional Arabic"/>
          <w:sz w:val="32"/>
          <w:szCs w:val="32"/>
          <w:rtl/>
        </w:rPr>
        <w:t xml:space="preserve"> </w:t>
      </w:r>
      <w:r w:rsidRPr="00703596">
        <w:rPr>
          <w:rFonts w:ascii="Traditional Arabic" w:hAnsi="Traditional Arabic" w:cs="Traditional Arabic" w:hint="cs"/>
          <w:sz w:val="32"/>
          <w:szCs w:val="32"/>
          <w:rtl/>
        </w:rPr>
        <w:t>إلى</w:t>
      </w:r>
      <w:r w:rsidRPr="00703596">
        <w:rPr>
          <w:rFonts w:ascii="Traditional Arabic" w:hAnsi="Traditional Arabic" w:cs="Traditional Arabic"/>
          <w:sz w:val="32"/>
          <w:szCs w:val="32"/>
          <w:rtl/>
        </w:rPr>
        <w:t xml:space="preserve"> </w:t>
      </w:r>
      <w:r w:rsidRPr="00703596">
        <w:rPr>
          <w:rFonts w:ascii="Traditional Arabic" w:hAnsi="Traditional Arabic" w:cs="Traditional Arabic"/>
          <w:sz w:val="24"/>
          <w:szCs w:val="24"/>
          <w:rtl/>
        </w:rPr>
        <w:t xml:space="preserve">50 </w:t>
      </w:r>
      <w:r w:rsidRPr="00703596">
        <w:rPr>
          <w:rFonts w:ascii="Traditional Arabic" w:eastAsia="Times New Roman" w:hAnsi="Traditional Arabic" w:cs="Traditional Arabic"/>
          <w:color w:val="000000"/>
          <w:sz w:val="24"/>
          <w:szCs w:val="24"/>
          <w:rtl/>
        </w:rPr>
        <w:t>%</w:t>
      </w:r>
      <w:r w:rsidRPr="00703596">
        <w:rPr>
          <w:rFonts w:ascii="Traditional Arabic" w:hAnsi="Traditional Arabic" w:cs="Traditional Arabic"/>
          <w:sz w:val="24"/>
          <w:szCs w:val="24"/>
          <w:rtl/>
        </w:rPr>
        <w:t xml:space="preserve"> </w:t>
      </w:r>
      <w:r w:rsidR="003F5AA9">
        <w:rPr>
          <w:rFonts w:ascii="Traditional Arabic" w:hAnsi="Traditional Arabic" w:cs="Traditional Arabic"/>
          <w:sz w:val="32"/>
          <w:szCs w:val="32"/>
          <w:rtl/>
        </w:rPr>
        <w:t>مقابل ال</w:t>
      </w:r>
      <w:r w:rsidR="003F5AA9">
        <w:rPr>
          <w:rFonts w:ascii="Traditional Arabic" w:hAnsi="Traditional Arabic" w:cs="Traditional Arabic" w:hint="cs"/>
          <w:sz w:val="32"/>
          <w:szCs w:val="32"/>
          <w:rtl/>
          <w:lang w:bidi="ar-DZ"/>
        </w:rPr>
        <w:t>أ</w:t>
      </w:r>
      <w:r w:rsidRPr="00703596">
        <w:rPr>
          <w:rFonts w:ascii="Traditional Arabic" w:hAnsi="Traditional Arabic" w:cs="Traditional Arabic"/>
          <w:sz w:val="32"/>
          <w:szCs w:val="32"/>
          <w:rtl/>
        </w:rPr>
        <w:t xml:space="preserve">ورو </w:t>
      </w:r>
      <w:r w:rsidRPr="00703596">
        <w:rPr>
          <w:rFonts w:ascii="Traditional Arabic" w:hAnsi="Traditional Arabic" w:cs="Traditional Arabic" w:hint="cs"/>
          <w:sz w:val="32"/>
          <w:szCs w:val="32"/>
          <w:rtl/>
        </w:rPr>
        <w:t>خلال السنوات السبع الأخيرة</w:t>
      </w:r>
      <w:r w:rsidRPr="00703596">
        <w:rPr>
          <w:rStyle w:val="Appelnotedebasdep"/>
          <w:rFonts w:ascii="Traditional Arabic" w:eastAsia="Times New Roman" w:hAnsi="Traditional Arabic" w:cs="Traditional Arabic"/>
          <w:color w:val="000000"/>
          <w:sz w:val="32"/>
          <w:szCs w:val="32"/>
          <w:rtl/>
        </w:rPr>
        <w:footnoteReference w:id="49"/>
      </w:r>
      <w:r w:rsidRPr="00703596">
        <w:rPr>
          <w:rFonts w:ascii="Traditional Arabic" w:eastAsia="Times New Roman" w:hAnsi="Traditional Arabic" w:cs="Traditional Arabic"/>
          <w:color w:val="000000"/>
          <w:sz w:val="32"/>
          <w:szCs w:val="32"/>
          <w:rtl/>
        </w:rPr>
        <w:t xml:space="preserve">. </w:t>
      </w:r>
    </w:p>
    <w:p w:rsidR="00B35CF7" w:rsidRPr="00703596" w:rsidRDefault="00B35CF7" w:rsidP="00B35CF7">
      <w:pPr>
        <w:tabs>
          <w:tab w:val="right" w:pos="567"/>
        </w:tabs>
        <w:bidi/>
        <w:spacing w:after="240"/>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703596">
        <w:rPr>
          <w:rFonts w:ascii="Traditional Arabic" w:hAnsi="Traditional Arabic" w:cs="Traditional Arabic"/>
          <w:sz w:val="32"/>
          <w:szCs w:val="32"/>
          <w:rtl/>
        </w:rPr>
        <w:t xml:space="preserve"> إن الأزمة المالية العالمية وركود اقتصاد الولايات المتحدة الأمريكية والأوروبي من شأنها أن تؤثر على مردود التوظيفات المالية الجزائرية بالخارج، فالقيمة الاسمية لسندات الخزانة الأمريكية لا تتغير، ومع ذلك فإن قوتها الشرائية تتغير مع تدهور سعر صرف الدولار ومع ارتفاع معدل التضخم الدولي وبسبب سياسة انخفاض معدلات الفائدة بقيادة البنك الاحتياطي الفدرالي</w:t>
      </w:r>
      <w:r>
        <w:rPr>
          <w:rFonts w:ascii="Traditional Arabic" w:hAnsi="Traditional Arabic" w:cs="Traditional Arabic" w:hint="cs"/>
          <w:sz w:val="32"/>
          <w:szCs w:val="32"/>
          <w:rtl/>
        </w:rPr>
        <w:t xml:space="preserve"> الأمريكي</w:t>
      </w:r>
      <w:r w:rsidRPr="00703596">
        <w:rPr>
          <w:rFonts w:ascii="Traditional Arabic" w:hAnsi="Traditional Arabic" w:cs="Traditional Arabic"/>
          <w:sz w:val="32"/>
          <w:szCs w:val="32"/>
          <w:rtl/>
        </w:rPr>
        <w:t>، فمدفوعات الفائدة لا تغطي الأثر السلبي للتضخم، والبنك الاحتياطي الفيدرالي الأمريكي لم يرفع سعر الفائدة للحيلولة دون تفاقم الأزمة المالية، وعلى هذا فالجزائر قامت باستثمار خاسر تحت غطاء قوة المصداقية المالية للمدين، لأنه ليس هذا في الواقع استثمار إنتاجي، ولكنه دعم مالي لخزينة الولايات المتحدة الأمريكية يساوي الفرق في القوة الشرائية لهذا الاستثمار ما بين بداية ونهاية السنة</w:t>
      </w:r>
      <w:r w:rsidRPr="00703596">
        <w:rPr>
          <w:rFonts w:ascii="Traditional Arabic" w:hAnsi="Traditional Arabic" w:cs="Traditional Arabic"/>
          <w:sz w:val="32"/>
          <w:szCs w:val="32"/>
          <w:rtl/>
          <w:lang w:bidi="ar-DZ"/>
        </w:rPr>
        <w:t>، مما قد يعود</w:t>
      </w:r>
      <w:r w:rsidRPr="00703596">
        <w:rPr>
          <w:rFonts w:ascii="Traditional Arabic" w:eastAsia="Times New Roman" w:hAnsi="Traditional Arabic" w:cs="Traditional Arabic"/>
          <w:color w:val="000000"/>
          <w:sz w:val="32"/>
          <w:szCs w:val="32"/>
          <w:rtl/>
        </w:rPr>
        <w:t xml:space="preserve"> بفوائد أقل على الجزائر</w:t>
      </w:r>
      <w:r w:rsidRPr="00703596">
        <w:rPr>
          <w:rStyle w:val="Appelnotedebasdep"/>
          <w:rFonts w:ascii="Traditional Arabic" w:hAnsi="Traditional Arabic" w:cs="Traditional Arabic"/>
          <w:sz w:val="32"/>
          <w:szCs w:val="32"/>
          <w:rtl/>
        </w:rPr>
        <w:footnoteReference w:id="50"/>
      </w:r>
      <w:r w:rsidRPr="00703596">
        <w:rPr>
          <w:rFonts w:ascii="Traditional Arabic" w:hAnsi="Traditional Arabic" w:cs="Traditional Arabic"/>
          <w:sz w:val="32"/>
          <w:szCs w:val="32"/>
          <w:rtl/>
        </w:rPr>
        <w:t>.</w:t>
      </w:r>
    </w:p>
    <w:p w:rsidR="00B35CF7" w:rsidRPr="00703596" w:rsidRDefault="00A145AC" w:rsidP="00B35CF7">
      <w:pPr>
        <w:tabs>
          <w:tab w:val="right" w:pos="283"/>
          <w:tab w:val="right" w:pos="567"/>
        </w:tabs>
        <w:bidi/>
        <w:spacing w:after="0"/>
        <w:jc w:val="both"/>
        <w:rPr>
          <w:rFonts w:ascii="Traditional Arabic" w:hAnsi="Traditional Arabic" w:cs="Traditional Arabic"/>
          <w:b/>
          <w:bCs/>
          <w:sz w:val="32"/>
          <w:szCs w:val="32"/>
          <w:rtl/>
        </w:rPr>
      </w:pPr>
      <w:r w:rsidRPr="00A145AC">
        <w:rPr>
          <w:rFonts w:ascii="Traditional Arabic" w:hAnsi="Traditional Arabic" w:cs="Traditional Arabic" w:hint="cs"/>
          <w:b/>
          <w:bCs/>
          <w:sz w:val="32"/>
          <w:szCs w:val="32"/>
          <w:rtl/>
        </w:rPr>
        <w:t>المطلب الثالث:</w:t>
      </w:r>
      <w:r w:rsidR="00B35CF7" w:rsidRPr="00A145AC">
        <w:rPr>
          <w:rFonts w:ascii="Traditional Arabic" w:hAnsi="Traditional Arabic" w:cs="Traditional Arabic" w:hint="cs"/>
          <w:b/>
          <w:bCs/>
          <w:sz w:val="32"/>
          <w:szCs w:val="32"/>
          <w:rtl/>
        </w:rPr>
        <w:t xml:space="preserve"> </w:t>
      </w:r>
      <w:r w:rsidR="00B35CF7" w:rsidRPr="00A145AC">
        <w:rPr>
          <w:rFonts w:ascii="Traditional Arabic" w:hAnsi="Traditional Arabic" w:cs="Traditional Arabic"/>
          <w:b/>
          <w:bCs/>
          <w:sz w:val="32"/>
          <w:szCs w:val="32"/>
          <w:rtl/>
        </w:rPr>
        <w:t>الآثار</w:t>
      </w:r>
      <w:r w:rsidR="00B35CF7" w:rsidRPr="00703596">
        <w:rPr>
          <w:rFonts w:ascii="Traditional Arabic" w:hAnsi="Traditional Arabic" w:cs="Traditional Arabic"/>
          <w:b/>
          <w:bCs/>
          <w:sz w:val="32"/>
          <w:szCs w:val="32"/>
          <w:rtl/>
        </w:rPr>
        <w:t xml:space="preserve"> النقدية للأزمة وانعكاساتها على الجزائر: </w:t>
      </w:r>
    </w:p>
    <w:p w:rsidR="00B35CF7" w:rsidRPr="00703596" w:rsidRDefault="00B35CF7" w:rsidP="00B35CF7">
      <w:pPr>
        <w:pStyle w:val="En-tte"/>
        <w:bidi/>
        <w:rPr>
          <w:rFonts w:ascii="Traditional Arabic" w:hAnsi="Traditional Arabic" w:cs="Traditional Arabic"/>
          <w:b/>
          <w:bCs/>
          <w:sz w:val="32"/>
          <w:szCs w:val="32"/>
          <w:rtl/>
          <w:lang w:bidi="ar-DZ"/>
        </w:rPr>
      </w:pPr>
      <w:r w:rsidRPr="00703596">
        <w:rPr>
          <w:rFonts w:ascii="Traditional Arabic" w:hAnsi="Traditional Arabic" w:cs="Traditional Arabic" w:hint="cs"/>
          <w:b/>
          <w:bCs/>
          <w:sz w:val="24"/>
          <w:szCs w:val="24"/>
          <w:rtl/>
          <w:lang w:bidi="ar-DZ"/>
        </w:rPr>
        <w:t xml:space="preserve">1- </w:t>
      </w:r>
      <w:r w:rsidRPr="00703596">
        <w:rPr>
          <w:rFonts w:ascii="Traditional Arabic" w:hAnsi="Traditional Arabic" w:cs="Traditional Arabic"/>
          <w:b/>
          <w:bCs/>
          <w:sz w:val="32"/>
          <w:szCs w:val="32"/>
          <w:rtl/>
          <w:lang w:bidi="ar-DZ"/>
        </w:rPr>
        <w:t>آثار الأزمة المالية على الدولار وانعكاساتها على إيرادات الجزائر من تصدير المحروقات</w:t>
      </w:r>
      <w:r w:rsidRPr="00703596">
        <w:rPr>
          <w:rFonts w:ascii="Traditional Arabic" w:hAnsi="Traditional Arabic" w:cs="Traditional Arabic" w:hint="cs"/>
          <w:b/>
          <w:bCs/>
          <w:sz w:val="32"/>
          <w:szCs w:val="32"/>
          <w:rtl/>
          <w:lang w:bidi="ar-DZ"/>
        </w:rPr>
        <w:t>:</w:t>
      </w:r>
    </w:p>
    <w:p w:rsidR="00B35CF7" w:rsidRDefault="00B35CF7" w:rsidP="00B35CF7">
      <w:pPr>
        <w:pStyle w:val="En-tte"/>
        <w:tabs>
          <w:tab w:val="right" w:pos="567"/>
        </w:tabs>
        <w:bidi/>
        <w:spacing w:after="24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703596">
        <w:rPr>
          <w:rFonts w:ascii="Traditional Arabic" w:hAnsi="Traditional Arabic" w:cs="Traditional Arabic" w:hint="cs"/>
          <w:sz w:val="32"/>
          <w:szCs w:val="32"/>
          <w:rtl/>
          <w:lang w:bidi="ar-DZ"/>
        </w:rPr>
        <w:t xml:space="preserve"> مما لا شك فيه أن الأزمة المالية العالمية لها انعكاسات على قيمة الدولار تمثلت في ميل معدل صرف هذه العملة إلى التدهور مقارنة بالأورو والين الياباني، إلا أنه من اللازم القول أن تدهور قيمة الدولار مقارنة بهذه العملات كانت قد بدأت قبل هذا الحدث الهام. إن دراسة تطور قيمة الدولار عبر الزمن مهم بالنسبة للجزائر على اعتبار أن إيراداتها من العملات الصعبة أغلبها يأخذ شكل دولارات، ووارداتها أغلبها بالأورو من دول الاتحاد الأوروبي، فالانخفاض المستمر للدولار مقابل الأورو يحد من ارتفاع القوة الشرائية لعائدات الجزائر. </w:t>
      </w:r>
    </w:p>
    <w:p w:rsidR="00B35CF7" w:rsidRPr="000523F1" w:rsidRDefault="00B35CF7" w:rsidP="0067613E">
      <w:pPr>
        <w:pStyle w:val="En-tte"/>
        <w:tabs>
          <w:tab w:val="right" w:pos="567"/>
        </w:tabs>
        <w:bidi/>
        <w:spacing w:line="276" w:lineRule="auto"/>
        <w:jc w:val="center"/>
        <w:rPr>
          <w:rFonts w:ascii="Traditional Arabic" w:hAnsi="Traditional Arabic" w:cs="Traditional Arabic"/>
          <w:sz w:val="32"/>
          <w:szCs w:val="32"/>
          <w:rtl/>
          <w:lang w:bidi="ar-DZ"/>
        </w:rPr>
      </w:pPr>
      <w:r w:rsidRPr="000523F1">
        <w:rPr>
          <w:rFonts w:ascii="Traditional Arabic" w:hAnsi="Traditional Arabic" w:cs="Traditional Arabic" w:hint="cs"/>
          <w:sz w:val="32"/>
          <w:szCs w:val="32"/>
          <w:rtl/>
          <w:lang w:bidi="ar-DZ"/>
        </w:rPr>
        <w:lastRenderedPageBreak/>
        <w:t xml:space="preserve">الجدول </w:t>
      </w:r>
      <w:r w:rsidRPr="005D408C">
        <w:rPr>
          <w:rFonts w:ascii="Traditional Arabic" w:hAnsi="Traditional Arabic" w:cs="Traditional Arabic" w:hint="cs"/>
          <w:sz w:val="32"/>
          <w:szCs w:val="32"/>
          <w:rtl/>
          <w:lang w:bidi="ar-DZ"/>
        </w:rPr>
        <w:t>رقم</w:t>
      </w:r>
      <w:r w:rsidR="005D408C">
        <w:rPr>
          <w:rFonts w:ascii="Traditional Arabic" w:hAnsi="Traditional Arabic" w:cs="Traditional Arabic" w:hint="cs"/>
          <w:sz w:val="32"/>
          <w:szCs w:val="32"/>
          <w:rtl/>
          <w:lang w:bidi="ar-DZ"/>
        </w:rPr>
        <w:t xml:space="preserve"> </w:t>
      </w:r>
      <w:r w:rsidR="005D408C">
        <w:rPr>
          <w:rFonts w:ascii="Traditional Arabic" w:hAnsi="Traditional Arabic" w:cs="Traditional Arabic" w:hint="cs"/>
          <w:sz w:val="24"/>
          <w:szCs w:val="24"/>
          <w:rtl/>
          <w:lang w:bidi="ar-DZ"/>
        </w:rPr>
        <w:t>24</w:t>
      </w:r>
      <w:r w:rsidRPr="000523F1">
        <w:rPr>
          <w:rFonts w:ascii="Traditional Arabic" w:hAnsi="Traditional Arabic" w:cs="Traditional Arabic" w:hint="cs"/>
          <w:sz w:val="32"/>
          <w:szCs w:val="32"/>
          <w:rtl/>
          <w:lang w:bidi="ar-DZ"/>
        </w:rPr>
        <w:t xml:space="preserve">: تطور متوسط معدل صرف الأورو معبرا عنه بالدولار خلال الفترة </w:t>
      </w:r>
      <w:r w:rsidR="00631BCC">
        <w:rPr>
          <w:rFonts w:ascii="Traditional Arabic" w:hAnsi="Traditional Arabic" w:cs="Traditional Arabic"/>
          <w:sz w:val="24"/>
          <w:szCs w:val="24"/>
          <w:lang w:bidi="ar-DZ"/>
        </w:rPr>
        <w:t>1999</w:t>
      </w:r>
      <w:r w:rsidRPr="000523F1">
        <w:rPr>
          <w:rFonts w:ascii="Traditional Arabic" w:hAnsi="Traditional Arabic" w:cs="Traditional Arabic" w:hint="cs"/>
          <w:sz w:val="24"/>
          <w:szCs w:val="24"/>
          <w:rtl/>
          <w:lang w:bidi="ar-DZ"/>
        </w:rPr>
        <w:t>-2009</w:t>
      </w:r>
    </w:p>
    <w:tbl>
      <w:tblPr>
        <w:tblStyle w:val="Grilledutableau"/>
        <w:bidiVisual/>
        <w:tblW w:w="0" w:type="auto"/>
        <w:jc w:val="center"/>
        <w:tblInd w:w="221" w:type="dxa"/>
        <w:tblLook w:val="04A0"/>
      </w:tblPr>
      <w:tblGrid>
        <w:gridCol w:w="1653"/>
        <w:gridCol w:w="1162"/>
        <w:gridCol w:w="1162"/>
        <w:gridCol w:w="1162"/>
        <w:gridCol w:w="1163"/>
        <w:gridCol w:w="1163"/>
        <w:gridCol w:w="1163"/>
      </w:tblGrid>
      <w:tr w:rsidR="002415A8" w:rsidTr="0067613E">
        <w:trPr>
          <w:trHeight w:val="407"/>
          <w:jc w:val="center"/>
        </w:trPr>
        <w:tc>
          <w:tcPr>
            <w:tcW w:w="1653" w:type="dxa"/>
          </w:tcPr>
          <w:p w:rsidR="002415A8" w:rsidRPr="0014053B" w:rsidRDefault="002415A8" w:rsidP="00EC74F4">
            <w:pPr>
              <w:pStyle w:val="En-tte"/>
              <w:tabs>
                <w:tab w:val="right" w:pos="567"/>
              </w:tabs>
              <w:bidi/>
              <w:rPr>
                <w:rFonts w:ascii="Traditional Arabic" w:hAnsi="Traditional Arabic" w:cs="Traditional Arabic"/>
                <w:sz w:val="26"/>
                <w:szCs w:val="26"/>
                <w:rtl/>
                <w:lang w:bidi="ar-DZ"/>
              </w:rPr>
            </w:pPr>
            <w:r w:rsidRPr="004F6FA0">
              <w:rPr>
                <w:rFonts w:ascii="Traditional Arabic" w:hAnsi="Traditional Arabic" w:cs="Traditional Arabic" w:hint="cs"/>
                <w:sz w:val="28"/>
                <w:szCs w:val="28"/>
                <w:rtl/>
                <w:lang w:bidi="ar-DZ"/>
              </w:rPr>
              <w:t>السنة</w:t>
            </w:r>
          </w:p>
        </w:tc>
        <w:tc>
          <w:tcPr>
            <w:tcW w:w="1162" w:type="dxa"/>
          </w:tcPr>
          <w:p w:rsidR="002415A8" w:rsidRPr="00703596" w:rsidRDefault="002415A8" w:rsidP="00EC74F4">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1999</w:t>
            </w:r>
          </w:p>
        </w:tc>
        <w:tc>
          <w:tcPr>
            <w:tcW w:w="1162" w:type="dxa"/>
          </w:tcPr>
          <w:p w:rsidR="002415A8" w:rsidRPr="00703596" w:rsidRDefault="002415A8" w:rsidP="00EC74F4">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2000</w:t>
            </w:r>
          </w:p>
        </w:tc>
        <w:tc>
          <w:tcPr>
            <w:tcW w:w="1162" w:type="dxa"/>
          </w:tcPr>
          <w:p w:rsidR="002415A8" w:rsidRPr="00703596" w:rsidRDefault="002415A8" w:rsidP="00EC74F4">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2001</w:t>
            </w:r>
          </w:p>
        </w:tc>
        <w:tc>
          <w:tcPr>
            <w:tcW w:w="1163"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2002</w:t>
            </w:r>
          </w:p>
        </w:tc>
        <w:tc>
          <w:tcPr>
            <w:tcW w:w="1163"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2003</w:t>
            </w:r>
          </w:p>
        </w:tc>
        <w:tc>
          <w:tcPr>
            <w:tcW w:w="1163"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2004</w:t>
            </w:r>
          </w:p>
        </w:tc>
      </w:tr>
      <w:tr w:rsidR="002415A8" w:rsidTr="0067613E">
        <w:trPr>
          <w:trHeight w:val="429"/>
          <w:jc w:val="center"/>
        </w:trPr>
        <w:tc>
          <w:tcPr>
            <w:tcW w:w="1653" w:type="dxa"/>
          </w:tcPr>
          <w:p w:rsidR="002415A8" w:rsidRPr="0014053B" w:rsidRDefault="002415A8" w:rsidP="00EC74F4">
            <w:pPr>
              <w:pStyle w:val="En-tte"/>
              <w:tabs>
                <w:tab w:val="right" w:pos="567"/>
              </w:tabs>
              <w:bidi/>
              <w:rPr>
                <w:rFonts w:ascii="Traditional Arabic" w:hAnsi="Traditional Arabic" w:cs="Traditional Arabic"/>
                <w:sz w:val="26"/>
                <w:szCs w:val="26"/>
                <w:rtl/>
                <w:lang w:bidi="ar-DZ"/>
              </w:rPr>
            </w:pPr>
            <w:r w:rsidRPr="004F6FA0">
              <w:rPr>
                <w:rFonts w:ascii="Traditional Arabic" w:hAnsi="Traditional Arabic" w:cs="Traditional Arabic" w:hint="cs"/>
                <w:sz w:val="28"/>
                <w:szCs w:val="28"/>
                <w:rtl/>
                <w:lang w:bidi="ar-DZ"/>
              </w:rPr>
              <w:t>المعدل</w:t>
            </w:r>
            <w:r w:rsidRPr="004F6FA0">
              <w:rPr>
                <w:rFonts w:ascii="Traditional Arabic" w:hAnsi="Traditional Arabic" w:cs="Traditional Arabic"/>
                <w:sz w:val="28"/>
                <w:szCs w:val="28"/>
                <w:lang w:bidi="ar-DZ"/>
              </w:rPr>
              <w:t xml:space="preserve"> </w:t>
            </w:r>
            <w:r w:rsidRPr="004F6FA0">
              <w:rPr>
                <w:rFonts w:ascii="Traditional Arabic" w:hAnsi="Traditional Arabic" w:cs="Traditional Arabic" w:hint="cs"/>
                <w:sz w:val="28"/>
                <w:szCs w:val="28"/>
                <w:rtl/>
                <w:lang w:bidi="ar-DZ"/>
              </w:rPr>
              <w:t>المتوسط</w:t>
            </w:r>
            <w:r w:rsidRPr="004F6FA0">
              <w:rPr>
                <w:rFonts w:ascii="Traditional Arabic" w:hAnsi="Traditional Arabic" w:cs="Traditional Arabic"/>
                <w:sz w:val="28"/>
                <w:szCs w:val="28"/>
                <w:lang w:bidi="ar-DZ"/>
              </w:rPr>
              <w:t xml:space="preserve"> </w:t>
            </w:r>
          </w:p>
        </w:tc>
        <w:tc>
          <w:tcPr>
            <w:tcW w:w="1162" w:type="dxa"/>
          </w:tcPr>
          <w:p w:rsidR="002415A8" w:rsidRPr="00703596" w:rsidRDefault="007A0EB0" w:rsidP="00EC74F4">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1.0588</w:t>
            </w:r>
          </w:p>
        </w:tc>
        <w:tc>
          <w:tcPr>
            <w:tcW w:w="1162" w:type="dxa"/>
          </w:tcPr>
          <w:p w:rsidR="002415A8" w:rsidRPr="00703596" w:rsidRDefault="007A0EB0" w:rsidP="00EC74F4">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0.9194</w:t>
            </w:r>
          </w:p>
        </w:tc>
        <w:tc>
          <w:tcPr>
            <w:tcW w:w="1162" w:type="dxa"/>
          </w:tcPr>
          <w:p w:rsidR="002415A8" w:rsidRPr="00703596" w:rsidRDefault="007A0EB0" w:rsidP="00EC74F4">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0.8924</w:t>
            </w:r>
          </w:p>
        </w:tc>
        <w:tc>
          <w:tcPr>
            <w:tcW w:w="1163" w:type="dxa"/>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0.9503</w:t>
            </w:r>
          </w:p>
        </w:tc>
        <w:tc>
          <w:tcPr>
            <w:tcW w:w="1163" w:type="dxa"/>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1.1409</w:t>
            </w:r>
          </w:p>
        </w:tc>
        <w:tc>
          <w:tcPr>
            <w:tcW w:w="1163" w:type="dxa"/>
            <w:tcBorders>
              <w:bottom w:val="single" w:sz="4" w:space="0" w:color="000000" w:themeColor="text1"/>
            </w:tcBorders>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1.2439</w:t>
            </w:r>
          </w:p>
        </w:tc>
      </w:tr>
      <w:tr w:rsidR="002415A8" w:rsidTr="0067613E">
        <w:trPr>
          <w:trHeight w:val="429"/>
          <w:jc w:val="center"/>
        </w:trPr>
        <w:tc>
          <w:tcPr>
            <w:tcW w:w="1653" w:type="dxa"/>
          </w:tcPr>
          <w:p w:rsidR="002415A8" w:rsidRPr="004F6FA0" w:rsidRDefault="002415A8" w:rsidP="00EC74F4">
            <w:pPr>
              <w:pStyle w:val="En-tte"/>
              <w:tabs>
                <w:tab w:val="right" w:pos="567"/>
              </w:tabs>
              <w:bidi/>
              <w:rPr>
                <w:rFonts w:ascii="Traditional Arabic" w:hAnsi="Traditional Arabic" w:cs="Traditional Arabic"/>
                <w:sz w:val="26"/>
                <w:szCs w:val="26"/>
                <w:rtl/>
                <w:lang w:bidi="ar-DZ"/>
              </w:rPr>
            </w:pPr>
            <w:r w:rsidRPr="004F6FA0">
              <w:rPr>
                <w:rFonts w:ascii="Traditional Arabic" w:hAnsi="Traditional Arabic" w:cs="Traditional Arabic" w:hint="cs"/>
                <w:sz w:val="28"/>
                <w:szCs w:val="28"/>
                <w:rtl/>
                <w:lang w:bidi="ar-DZ"/>
              </w:rPr>
              <w:t xml:space="preserve">السنة </w:t>
            </w:r>
          </w:p>
        </w:tc>
        <w:tc>
          <w:tcPr>
            <w:tcW w:w="1162"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2005</w:t>
            </w:r>
          </w:p>
        </w:tc>
        <w:tc>
          <w:tcPr>
            <w:tcW w:w="1162"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2006</w:t>
            </w:r>
          </w:p>
        </w:tc>
        <w:tc>
          <w:tcPr>
            <w:tcW w:w="1162"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2007</w:t>
            </w:r>
          </w:p>
        </w:tc>
        <w:tc>
          <w:tcPr>
            <w:tcW w:w="1163"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2008</w:t>
            </w:r>
          </w:p>
        </w:tc>
        <w:tc>
          <w:tcPr>
            <w:tcW w:w="1163" w:type="dxa"/>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r w:rsidRPr="00703596">
              <w:rPr>
                <w:rFonts w:ascii="Traditional Arabic" w:hAnsi="Traditional Arabic" w:cs="Traditional Arabic" w:hint="cs"/>
                <w:sz w:val="24"/>
                <w:szCs w:val="24"/>
                <w:rtl/>
                <w:lang w:bidi="ar-DZ"/>
              </w:rPr>
              <w:t>2009</w:t>
            </w:r>
          </w:p>
        </w:tc>
        <w:tc>
          <w:tcPr>
            <w:tcW w:w="1163" w:type="dxa"/>
            <w:vMerge w:val="restart"/>
            <w:tcBorders>
              <w:bottom w:val="nil"/>
              <w:right w:val="nil"/>
            </w:tcBorders>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p>
        </w:tc>
      </w:tr>
      <w:tr w:rsidR="002415A8" w:rsidTr="0067613E">
        <w:trPr>
          <w:trHeight w:val="429"/>
          <w:jc w:val="center"/>
        </w:trPr>
        <w:tc>
          <w:tcPr>
            <w:tcW w:w="1653" w:type="dxa"/>
          </w:tcPr>
          <w:p w:rsidR="002415A8" w:rsidRPr="0014053B" w:rsidRDefault="002415A8" w:rsidP="00EC74F4">
            <w:pPr>
              <w:pStyle w:val="En-tte"/>
              <w:tabs>
                <w:tab w:val="right" w:pos="567"/>
              </w:tabs>
              <w:bidi/>
              <w:rPr>
                <w:rFonts w:ascii="Traditional Arabic" w:hAnsi="Traditional Arabic" w:cs="Traditional Arabic"/>
                <w:sz w:val="26"/>
                <w:szCs w:val="26"/>
                <w:rtl/>
                <w:lang w:bidi="ar-DZ"/>
              </w:rPr>
            </w:pPr>
            <w:r w:rsidRPr="004F6FA0">
              <w:rPr>
                <w:rFonts w:ascii="Traditional Arabic" w:hAnsi="Traditional Arabic" w:cs="Traditional Arabic" w:hint="cs"/>
                <w:sz w:val="28"/>
                <w:szCs w:val="28"/>
                <w:rtl/>
                <w:lang w:bidi="ar-DZ"/>
              </w:rPr>
              <w:t>المعدل المتوسط</w:t>
            </w:r>
          </w:p>
        </w:tc>
        <w:tc>
          <w:tcPr>
            <w:tcW w:w="1162" w:type="dxa"/>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1.2441</w:t>
            </w:r>
          </w:p>
        </w:tc>
        <w:tc>
          <w:tcPr>
            <w:tcW w:w="1162" w:type="dxa"/>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1.2568</w:t>
            </w:r>
          </w:p>
        </w:tc>
        <w:tc>
          <w:tcPr>
            <w:tcW w:w="1162" w:type="dxa"/>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1.3709</w:t>
            </w:r>
          </w:p>
        </w:tc>
        <w:tc>
          <w:tcPr>
            <w:tcW w:w="1163" w:type="dxa"/>
          </w:tcPr>
          <w:p w:rsidR="002415A8" w:rsidRPr="00703596" w:rsidRDefault="007A0EB0" w:rsidP="00820AC5">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1.4712</w:t>
            </w:r>
          </w:p>
        </w:tc>
        <w:tc>
          <w:tcPr>
            <w:tcW w:w="1163" w:type="dxa"/>
          </w:tcPr>
          <w:p w:rsidR="002415A8" w:rsidRPr="00703596" w:rsidRDefault="00DC3EFA" w:rsidP="00DC3EFA">
            <w:pPr>
              <w:pStyle w:val="En-tte"/>
              <w:tabs>
                <w:tab w:val="right" w:pos="567"/>
              </w:tabs>
              <w:bidi/>
              <w:jc w:val="center"/>
              <w:rPr>
                <w:rFonts w:ascii="Traditional Arabic" w:hAnsi="Traditional Arabic" w:cs="Traditional Arabic"/>
                <w:sz w:val="24"/>
                <w:szCs w:val="24"/>
                <w:rtl/>
                <w:lang w:bidi="ar-DZ"/>
              </w:rPr>
            </w:pPr>
            <w:r>
              <w:rPr>
                <w:rFonts w:ascii="Traditional Arabic" w:hAnsi="Traditional Arabic" w:cs="Traditional Arabic"/>
                <w:sz w:val="24"/>
                <w:szCs w:val="24"/>
                <w:lang w:bidi="ar-DZ"/>
              </w:rPr>
              <w:t>1.3948</w:t>
            </w:r>
          </w:p>
        </w:tc>
        <w:tc>
          <w:tcPr>
            <w:tcW w:w="1163" w:type="dxa"/>
            <w:vMerge/>
            <w:tcBorders>
              <w:bottom w:val="nil"/>
              <w:right w:val="nil"/>
            </w:tcBorders>
          </w:tcPr>
          <w:p w:rsidR="002415A8" w:rsidRPr="00703596" w:rsidRDefault="002415A8" w:rsidP="00820AC5">
            <w:pPr>
              <w:pStyle w:val="En-tte"/>
              <w:tabs>
                <w:tab w:val="right" w:pos="567"/>
              </w:tabs>
              <w:bidi/>
              <w:jc w:val="center"/>
              <w:rPr>
                <w:rFonts w:ascii="Traditional Arabic" w:hAnsi="Traditional Arabic" w:cs="Traditional Arabic"/>
                <w:sz w:val="24"/>
                <w:szCs w:val="24"/>
                <w:rtl/>
                <w:lang w:bidi="ar-DZ"/>
              </w:rPr>
            </w:pPr>
          </w:p>
        </w:tc>
      </w:tr>
    </w:tbl>
    <w:p w:rsidR="009A464F" w:rsidRPr="00DE6DC5" w:rsidRDefault="007A0EB0" w:rsidP="00AB404B">
      <w:pPr>
        <w:pStyle w:val="En-tte"/>
        <w:tabs>
          <w:tab w:val="right" w:pos="567"/>
        </w:tabs>
        <w:spacing w:line="276" w:lineRule="auto"/>
        <w:jc w:val="both"/>
        <w:rPr>
          <w:rFonts w:asciiTheme="majorBidi" w:hAnsiTheme="majorBidi" w:cstheme="majorBidi"/>
          <w:sz w:val="20"/>
          <w:szCs w:val="20"/>
          <w:lang w:bidi="ar-DZ"/>
        </w:rPr>
      </w:pPr>
      <w:r w:rsidRPr="00DE6DC5">
        <w:rPr>
          <w:rFonts w:asciiTheme="majorBidi" w:hAnsiTheme="majorBidi" w:cstheme="majorBidi"/>
          <w:sz w:val="20"/>
          <w:szCs w:val="20"/>
          <w:lang w:bidi="ar-DZ"/>
        </w:rPr>
        <w:t xml:space="preserve">Source : Olivier Barthalon, </w:t>
      </w:r>
      <w:r w:rsidR="00223011" w:rsidRPr="00DE6DC5">
        <w:rPr>
          <w:rFonts w:asciiTheme="majorBidi" w:hAnsiTheme="majorBidi" w:cstheme="majorBidi"/>
          <w:sz w:val="20"/>
          <w:szCs w:val="20"/>
          <w:lang w:bidi="ar-DZ"/>
        </w:rPr>
        <w:t>L</w:t>
      </w:r>
      <w:r w:rsidRPr="00DE6DC5">
        <w:rPr>
          <w:rFonts w:asciiTheme="majorBidi" w:hAnsiTheme="majorBidi" w:cstheme="majorBidi"/>
          <w:sz w:val="20"/>
          <w:szCs w:val="20"/>
          <w:lang w:bidi="ar-DZ"/>
        </w:rPr>
        <w:t xml:space="preserve">onut Bibac, Cécile Ernst: </w:t>
      </w:r>
      <w:r w:rsidR="005A291D" w:rsidRPr="00DE6DC5">
        <w:rPr>
          <w:rFonts w:asciiTheme="majorBidi" w:hAnsiTheme="majorBidi" w:cstheme="majorBidi"/>
          <w:sz w:val="20"/>
          <w:szCs w:val="20"/>
          <w:lang w:bidi="ar-DZ"/>
        </w:rPr>
        <w:t xml:space="preserve">l’euro dix ans après, un premier bilan à l’heure de la crise </w:t>
      </w:r>
      <w:r w:rsidR="009A464F" w:rsidRPr="00DE6DC5">
        <w:rPr>
          <w:rFonts w:asciiTheme="majorBidi" w:hAnsiTheme="majorBidi" w:cstheme="majorBidi"/>
          <w:sz w:val="20"/>
          <w:szCs w:val="20"/>
          <w:lang w:bidi="ar-DZ"/>
        </w:rPr>
        <w:t xml:space="preserve"> </w:t>
      </w:r>
    </w:p>
    <w:p w:rsidR="001F6638" w:rsidRPr="00DE6DC5" w:rsidRDefault="000E4678" w:rsidP="00AB404B">
      <w:pPr>
        <w:pStyle w:val="En-tte"/>
        <w:tabs>
          <w:tab w:val="right" w:pos="567"/>
        </w:tabs>
        <w:spacing w:line="276" w:lineRule="auto"/>
        <w:jc w:val="both"/>
        <w:rPr>
          <w:rFonts w:asciiTheme="majorBidi" w:hAnsiTheme="majorBidi" w:cstheme="majorBidi"/>
          <w:sz w:val="20"/>
          <w:szCs w:val="20"/>
          <w:lang w:bidi="ar-DZ"/>
        </w:rPr>
      </w:pPr>
      <w:r>
        <w:rPr>
          <w:rFonts w:asciiTheme="majorBidi" w:hAnsiTheme="majorBidi" w:cstheme="majorBidi"/>
          <w:sz w:val="20"/>
          <w:szCs w:val="20"/>
          <w:lang w:bidi="ar-DZ"/>
        </w:rPr>
        <w:t xml:space="preserve">             </w:t>
      </w:r>
      <w:r w:rsidR="009A464F" w:rsidRPr="00DE6DC5">
        <w:rPr>
          <w:rFonts w:asciiTheme="majorBidi" w:hAnsiTheme="majorBidi" w:cstheme="majorBidi"/>
          <w:sz w:val="20"/>
          <w:szCs w:val="20"/>
          <w:lang w:bidi="ar-DZ"/>
        </w:rPr>
        <w:t xml:space="preserve"> </w:t>
      </w:r>
      <w:r w:rsidR="005A291D" w:rsidRPr="00DE6DC5">
        <w:rPr>
          <w:rFonts w:asciiTheme="majorBidi" w:hAnsiTheme="majorBidi" w:cstheme="majorBidi"/>
          <w:sz w:val="20"/>
          <w:szCs w:val="20"/>
          <w:lang w:bidi="ar-DZ"/>
        </w:rPr>
        <w:t xml:space="preserve">financière, L’Harmattan, </w:t>
      </w:r>
      <w:r w:rsidR="004139CD">
        <w:rPr>
          <w:rFonts w:asciiTheme="majorBidi" w:hAnsiTheme="majorBidi" w:cstheme="majorBidi"/>
          <w:sz w:val="20"/>
          <w:szCs w:val="20"/>
          <w:lang w:bidi="ar-DZ"/>
        </w:rPr>
        <w:t>p 234</w:t>
      </w:r>
      <w:r w:rsidR="00F64D69" w:rsidRPr="00DE6DC5">
        <w:rPr>
          <w:rFonts w:asciiTheme="majorBidi" w:hAnsiTheme="majorBidi" w:cstheme="majorBidi"/>
          <w:sz w:val="20"/>
          <w:szCs w:val="20"/>
          <w:lang w:bidi="ar-DZ"/>
        </w:rPr>
        <w:t xml:space="preserve">. </w:t>
      </w:r>
      <w:r w:rsidR="005A291D" w:rsidRPr="00DE6DC5">
        <w:rPr>
          <w:rFonts w:asciiTheme="majorBidi" w:hAnsiTheme="majorBidi" w:cstheme="majorBidi"/>
          <w:sz w:val="20"/>
          <w:szCs w:val="20"/>
          <w:lang w:bidi="ar-DZ"/>
        </w:rPr>
        <w:t xml:space="preserve">  </w:t>
      </w:r>
    </w:p>
    <w:p w:rsidR="002C0E7F" w:rsidRPr="004607DC" w:rsidRDefault="000E4678" w:rsidP="00AB404B">
      <w:pPr>
        <w:tabs>
          <w:tab w:val="right" w:pos="567"/>
          <w:tab w:val="left" w:pos="709"/>
          <w:tab w:val="left" w:pos="851"/>
          <w:tab w:val="left" w:pos="8505"/>
        </w:tabs>
        <w:spacing w:after="0"/>
        <w:jc w:val="both"/>
        <w:rPr>
          <w:rFonts w:asciiTheme="majorBidi" w:hAnsiTheme="majorBidi" w:cstheme="majorBidi"/>
          <w:sz w:val="20"/>
          <w:szCs w:val="20"/>
          <w:lang w:bidi="ar-DZ"/>
        </w:rPr>
      </w:pPr>
      <w:r>
        <w:rPr>
          <w:rFonts w:asciiTheme="majorBidi" w:hAnsiTheme="majorBidi" w:cstheme="majorBidi"/>
          <w:sz w:val="20"/>
          <w:szCs w:val="20"/>
          <w:lang w:bidi="ar-DZ"/>
        </w:rPr>
        <w:t xml:space="preserve">              Banque de France</w:t>
      </w:r>
      <w:r w:rsidR="002C0E7F" w:rsidRPr="004607DC">
        <w:rPr>
          <w:rFonts w:asciiTheme="majorBidi" w:hAnsiTheme="majorBidi" w:cstheme="majorBidi"/>
          <w:sz w:val="20"/>
          <w:szCs w:val="20"/>
          <w:lang w:bidi="ar-DZ"/>
        </w:rPr>
        <w:t>:</w:t>
      </w:r>
      <w:r>
        <w:rPr>
          <w:rFonts w:asciiTheme="majorBidi" w:hAnsiTheme="majorBidi" w:cstheme="majorBidi" w:hint="cs"/>
          <w:sz w:val="20"/>
          <w:szCs w:val="20"/>
          <w:rtl/>
          <w:lang w:bidi="ar-DZ"/>
        </w:rPr>
        <w:t xml:space="preserve"> </w:t>
      </w:r>
      <w:r w:rsidR="002C0E7F" w:rsidRPr="004607DC">
        <w:rPr>
          <w:rFonts w:asciiTheme="majorBidi" w:hAnsiTheme="majorBidi" w:cstheme="majorBidi"/>
          <w:sz w:val="20"/>
          <w:szCs w:val="20"/>
          <w:lang w:bidi="ar-DZ"/>
        </w:rPr>
        <w:t>principaux indicateurs économiques et financiers, taux de change de l’euro</w:t>
      </w:r>
      <w:r w:rsidRPr="000E4678">
        <w:rPr>
          <w:rFonts w:asciiTheme="majorBidi" w:hAnsiTheme="majorBidi" w:cstheme="majorBidi"/>
          <w:sz w:val="20"/>
          <w:szCs w:val="20"/>
          <w:lang w:bidi="ar-DZ"/>
        </w:rPr>
        <w:t xml:space="preserve"> </w:t>
      </w:r>
      <w:r w:rsidRPr="004607DC">
        <w:rPr>
          <w:rFonts w:asciiTheme="majorBidi" w:hAnsiTheme="majorBidi" w:cstheme="majorBidi"/>
          <w:sz w:val="20"/>
          <w:szCs w:val="20"/>
          <w:lang w:bidi="ar-DZ"/>
        </w:rPr>
        <w:t>contre</w:t>
      </w:r>
      <w:r w:rsidR="002C0E7F" w:rsidRPr="004607DC">
        <w:rPr>
          <w:rFonts w:asciiTheme="majorBidi" w:hAnsiTheme="majorBidi" w:cstheme="majorBidi"/>
          <w:sz w:val="20"/>
          <w:szCs w:val="20"/>
          <w:lang w:bidi="ar-DZ"/>
        </w:rPr>
        <w:t xml:space="preserve">  </w:t>
      </w:r>
    </w:p>
    <w:p w:rsidR="002C0E7F" w:rsidRPr="004607DC" w:rsidRDefault="002C0E7F" w:rsidP="00AB404B">
      <w:pPr>
        <w:tabs>
          <w:tab w:val="right" w:pos="567"/>
          <w:tab w:val="left" w:pos="8505"/>
        </w:tabs>
        <w:jc w:val="both"/>
        <w:rPr>
          <w:rFonts w:asciiTheme="majorBidi" w:hAnsiTheme="majorBidi" w:cstheme="majorBidi"/>
          <w:sz w:val="20"/>
          <w:szCs w:val="20"/>
          <w:lang w:bidi="ar-DZ"/>
        </w:rPr>
      </w:pPr>
      <w:r w:rsidRPr="004607DC">
        <w:rPr>
          <w:rFonts w:asciiTheme="majorBidi" w:hAnsiTheme="majorBidi" w:cstheme="majorBidi"/>
          <w:sz w:val="20"/>
          <w:szCs w:val="20"/>
          <w:lang w:bidi="ar-DZ"/>
        </w:rPr>
        <w:t xml:space="preserve">              devises</w:t>
      </w:r>
      <w:r w:rsidR="004139CD" w:rsidRPr="004607DC">
        <w:rPr>
          <w:rFonts w:asciiTheme="majorBidi" w:hAnsiTheme="majorBidi" w:cstheme="majorBidi"/>
          <w:sz w:val="20"/>
          <w:szCs w:val="20"/>
          <w:lang w:bidi="ar-DZ"/>
        </w:rPr>
        <w:t xml:space="preserve">, 11 février 2010, p1. </w:t>
      </w:r>
    </w:p>
    <w:p w:rsidR="00B35CF7" w:rsidRPr="00831504" w:rsidRDefault="00B35CF7" w:rsidP="005379CA">
      <w:pPr>
        <w:tabs>
          <w:tab w:val="right" w:pos="567"/>
          <w:tab w:val="right" w:pos="8219"/>
          <w:tab w:val="right" w:pos="8361"/>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831504">
        <w:rPr>
          <w:rFonts w:ascii="Traditional Arabic" w:hAnsi="Traditional Arabic" w:cs="Traditional Arabic" w:hint="cs"/>
          <w:sz w:val="32"/>
          <w:szCs w:val="32"/>
          <w:rtl/>
          <w:lang w:bidi="ar-DZ"/>
        </w:rPr>
        <w:t xml:space="preserve"> إن ضعف قيمة الدولار مقابل الأورو (</w:t>
      </w:r>
      <w:r w:rsidR="00596D9B">
        <w:rPr>
          <w:rFonts w:ascii="Traditional Arabic" w:hAnsi="Traditional Arabic" w:cs="Traditional Arabic" w:hint="cs"/>
          <w:sz w:val="32"/>
          <w:szCs w:val="32"/>
          <w:rtl/>
          <w:lang w:bidi="ar-DZ"/>
        </w:rPr>
        <w:t xml:space="preserve">أنظر </w:t>
      </w:r>
      <w:r w:rsidRPr="00831504">
        <w:rPr>
          <w:rFonts w:ascii="Traditional Arabic" w:hAnsi="Traditional Arabic" w:cs="Traditional Arabic" w:hint="cs"/>
          <w:sz w:val="32"/>
          <w:szCs w:val="32"/>
          <w:rtl/>
          <w:lang w:bidi="ar-DZ"/>
        </w:rPr>
        <w:t xml:space="preserve">الجدول رقم </w:t>
      </w:r>
      <w:r w:rsidR="00596D9B">
        <w:rPr>
          <w:rFonts w:ascii="Traditional Arabic" w:hAnsi="Traditional Arabic" w:cs="Traditional Arabic" w:hint="cs"/>
          <w:sz w:val="24"/>
          <w:szCs w:val="24"/>
          <w:rtl/>
          <w:lang w:bidi="ar-DZ"/>
        </w:rPr>
        <w:t>24</w:t>
      </w:r>
      <w:r w:rsidRPr="00831504">
        <w:rPr>
          <w:rFonts w:ascii="Traditional Arabic" w:hAnsi="Traditional Arabic" w:cs="Traditional Arabic" w:hint="cs"/>
          <w:sz w:val="32"/>
          <w:szCs w:val="32"/>
          <w:rtl/>
          <w:lang w:bidi="ar-DZ"/>
        </w:rPr>
        <w:t xml:space="preserve">) مرتبط بعوامل تطور الاقتصادي الأمريكي الذي يتجه نحو الانكماش، بتواضع وتيرة نموه الاقتصادي وتبعات العجز في الموازنة التي تجاوزت أرقام قياسية، وضخ السلطات النقدية للولايات المتحدة الأمريكية مبالغ كبيرة لشراء الأصول السامة، بالإضافة إلى تزايد اعتماد الأورو كعملة ملجأ.    </w:t>
      </w:r>
    </w:p>
    <w:p w:rsidR="00B35CF7" w:rsidRPr="00631BCC" w:rsidRDefault="00B35CF7" w:rsidP="0067613E">
      <w:pPr>
        <w:tabs>
          <w:tab w:val="right" w:pos="567"/>
          <w:tab w:val="left" w:pos="8505"/>
        </w:tabs>
        <w:bidi/>
        <w:spacing w:after="0" w:line="240" w:lineRule="auto"/>
        <w:jc w:val="center"/>
        <w:rPr>
          <w:rFonts w:ascii="Traditional Arabic" w:hAnsi="Traditional Arabic" w:cs="Traditional Arabic"/>
          <w:sz w:val="32"/>
          <w:szCs w:val="32"/>
          <w:rtl/>
          <w:lang w:bidi="ar-DZ"/>
        </w:rPr>
      </w:pPr>
      <w:r w:rsidRPr="00631BCC">
        <w:rPr>
          <w:rFonts w:ascii="Traditional Arabic" w:hAnsi="Traditional Arabic" w:cs="Traditional Arabic" w:hint="cs"/>
          <w:sz w:val="32"/>
          <w:szCs w:val="32"/>
          <w:rtl/>
          <w:lang w:bidi="ar-DZ"/>
        </w:rPr>
        <w:t>الجدول رقم</w:t>
      </w:r>
      <w:r w:rsidR="00596D9B">
        <w:rPr>
          <w:rFonts w:ascii="Traditional Arabic" w:hAnsi="Traditional Arabic" w:cs="Traditional Arabic" w:hint="cs"/>
          <w:sz w:val="32"/>
          <w:szCs w:val="32"/>
          <w:rtl/>
          <w:lang w:bidi="ar-DZ"/>
        </w:rPr>
        <w:t xml:space="preserve"> </w:t>
      </w:r>
      <w:r w:rsidR="00596D9B" w:rsidRPr="00596D9B">
        <w:rPr>
          <w:rFonts w:ascii="Traditional Arabic" w:hAnsi="Traditional Arabic" w:cs="Traditional Arabic" w:hint="cs"/>
          <w:sz w:val="24"/>
          <w:szCs w:val="24"/>
          <w:rtl/>
          <w:lang w:bidi="ar-DZ"/>
        </w:rPr>
        <w:t>25</w:t>
      </w:r>
      <w:r w:rsidRPr="00631BCC">
        <w:rPr>
          <w:rFonts w:ascii="Traditional Arabic" w:hAnsi="Traditional Arabic" w:cs="Traditional Arabic" w:hint="cs"/>
          <w:sz w:val="32"/>
          <w:szCs w:val="32"/>
          <w:rtl/>
          <w:lang w:bidi="ar-DZ"/>
        </w:rPr>
        <w:t xml:space="preserve">: التوزيع الجغرافي لواردات الجزائر خلال الفترة </w:t>
      </w:r>
      <w:r w:rsidRPr="00631BCC">
        <w:rPr>
          <w:rFonts w:ascii="Traditional Arabic" w:hAnsi="Traditional Arabic" w:cs="Traditional Arabic" w:hint="cs"/>
          <w:sz w:val="24"/>
          <w:szCs w:val="24"/>
          <w:rtl/>
          <w:lang w:bidi="ar-DZ"/>
        </w:rPr>
        <w:t>2007-2008</w:t>
      </w:r>
    </w:p>
    <w:tbl>
      <w:tblPr>
        <w:tblStyle w:val="Grilledutableau"/>
        <w:tblpPr w:leftFromText="141" w:rightFromText="141" w:vertAnchor="page" w:horzAnchor="margin" w:tblpY="7953"/>
        <w:tblW w:w="9180" w:type="dxa"/>
        <w:tblLook w:val="04A0"/>
      </w:tblPr>
      <w:tblGrid>
        <w:gridCol w:w="1244"/>
        <w:gridCol w:w="1244"/>
        <w:gridCol w:w="1244"/>
        <w:gridCol w:w="1244"/>
        <w:gridCol w:w="1244"/>
        <w:gridCol w:w="2960"/>
      </w:tblGrid>
      <w:tr w:rsidR="00DC3C44" w:rsidRPr="00F25E5C" w:rsidTr="00195A09">
        <w:trPr>
          <w:trHeight w:val="394"/>
        </w:trPr>
        <w:tc>
          <w:tcPr>
            <w:tcW w:w="1244" w:type="dxa"/>
            <w:vMerge w:val="restart"/>
          </w:tcPr>
          <w:p w:rsidR="00DC3C44" w:rsidRPr="00233520" w:rsidRDefault="00DC3C44" w:rsidP="00195A09">
            <w:pPr>
              <w:bidi/>
              <w:jc w:val="center"/>
              <w:rPr>
                <w:rFonts w:ascii="Traditional Arabic" w:hAnsi="Traditional Arabic" w:cs="Traditional Arabic"/>
                <w:sz w:val="24"/>
                <w:szCs w:val="24"/>
                <w:rtl/>
              </w:rPr>
            </w:pPr>
            <w:r w:rsidRPr="00233520">
              <w:rPr>
                <w:rFonts w:ascii="Traditional Arabic" w:hAnsi="Traditional Arabic" w:cs="Traditional Arabic"/>
                <w:sz w:val="24"/>
                <w:szCs w:val="24"/>
              </w:rPr>
              <w:t>Evolution</w:t>
            </w:r>
          </w:p>
          <w:p w:rsidR="00DC3C44" w:rsidRDefault="00DC3C44" w:rsidP="00195A09">
            <w:pPr>
              <w:bidi/>
              <w:jc w:val="center"/>
              <w:rPr>
                <w:rFonts w:ascii="Traditional Arabic" w:hAnsi="Traditional Arabic" w:cs="Traditional Arabic"/>
                <w:sz w:val="26"/>
                <w:szCs w:val="26"/>
              </w:rPr>
            </w:pPr>
            <w:r w:rsidRPr="00233520">
              <w:rPr>
                <w:rFonts w:ascii="Traditional Arabic" w:hAnsi="Traditional Arabic" w:cs="Traditional Arabic"/>
                <w:sz w:val="24"/>
                <w:szCs w:val="24"/>
              </w:rPr>
              <w:t>%</w:t>
            </w:r>
          </w:p>
        </w:tc>
        <w:tc>
          <w:tcPr>
            <w:tcW w:w="2488" w:type="dxa"/>
            <w:gridSpan w:val="2"/>
          </w:tcPr>
          <w:p w:rsidR="00DC3C44" w:rsidRPr="00233520" w:rsidRDefault="00DC3C44" w:rsidP="00195A09">
            <w:pPr>
              <w:bidi/>
              <w:jc w:val="center"/>
              <w:rPr>
                <w:rFonts w:ascii="Traditional Arabic" w:hAnsi="Traditional Arabic" w:cs="Traditional Arabic"/>
                <w:sz w:val="24"/>
                <w:szCs w:val="24"/>
                <w:rtl/>
              </w:rPr>
            </w:pPr>
            <w:r w:rsidRPr="00233520">
              <w:rPr>
                <w:rFonts w:ascii="Traditional Arabic" w:hAnsi="Traditional Arabic" w:cs="Traditional Arabic" w:hint="cs"/>
                <w:sz w:val="24"/>
                <w:szCs w:val="24"/>
                <w:rtl/>
              </w:rPr>
              <w:t>2008</w:t>
            </w:r>
          </w:p>
        </w:tc>
        <w:tc>
          <w:tcPr>
            <w:tcW w:w="2488" w:type="dxa"/>
            <w:gridSpan w:val="2"/>
          </w:tcPr>
          <w:p w:rsidR="00DC3C44" w:rsidRPr="00233520" w:rsidRDefault="00DC3C44" w:rsidP="00195A09">
            <w:pPr>
              <w:bidi/>
              <w:jc w:val="center"/>
              <w:rPr>
                <w:rFonts w:ascii="Traditional Arabic" w:hAnsi="Traditional Arabic" w:cs="Traditional Arabic"/>
                <w:sz w:val="24"/>
                <w:szCs w:val="24"/>
                <w:rtl/>
              </w:rPr>
            </w:pPr>
            <w:r w:rsidRPr="00233520">
              <w:rPr>
                <w:rFonts w:ascii="Traditional Arabic" w:hAnsi="Traditional Arabic" w:cs="Traditional Arabic" w:hint="cs"/>
                <w:sz w:val="24"/>
                <w:szCs w:val="24"/>
                <w:rtl/>
              </w:rPr>
              <w:t>2007</w:t>
            </w:r>
          </w:p>
        </w:tc>
        <w:tc>
          <w:tcPr>
            <w:tcW w:w="2960" w:type="dxa"/>
            <w:vMerge w:val="restart"/>
            <w:tcBorders>
              <w:tr2bl w:val="single" w:sz="4" w:space="0" w:color="000000" w:themeColor="text1"/>
            </w:tcBorders>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 xml:space="preserve">                           السنوات</w:t>
            </w:r>
          </w:p>
          <w:p w:rsidR="00DC3C44" w:rsidRPr="001420DA" w:rsidRDefault="00DC3C44" w:rsidP="00195A09">
            <w:pPr>
              <w:tabs>
                <w:tab w:val="center" w:pos="1227"/>
              </w:tabs>
              <w:bidi/>
              <w:rPr>
                <w:rFonts w:ascii="Traditional Arabic" w:hAnsi="Traditional Arabic" w:cs="Traditional Arabic"/>
                <w:sz w:val="28"/>
                <w:szCs w:val="28"/>
                <w:rtl/>
                <w:lang w:bidi="ar-DZ"/>
              </w:rPr>
            </w:pPr>
            <w:r w:rsidRPr="001420DA">
              <w:rPr>
                <w:rFonts w:ascii="Traditional Arabic" w:hAnsi="Traditional Arabic" w:cs="Traditional Arabic" w:hint="cs"/>
                <w:sz w:val="28"/>
                <w:szCs w:val="28"/>
                <w:rtl/>
                <w:lang w:bidi="ar-DZ"/>
              </w:rPr>
              <w:t>الواردات</w:t>
            </w:r>
            <w:r w:rsidRPr="001420DA">
              <w:rPr>
                <w:rFonts w:ascii="Traditional Arabic" w:hAnsi="Traditional Arabic" w:cs="Traditional Arabic"/>
                <w:sz w:val="28"/>
                <w:szCs w:val="28"/>
                <w:lang w:bidi="ar-DZ"/>
              </w:rPr>
              <w:tab/>
            </w:r>
          </w:p>
        </w:tc>
      </w:tr>
      <w:tr w:rsidR="00DC3C44" w:rsidRPr="00F25E5C" w:rsidTr="00195A09">
        <w:trPr>
          <w:trHeight w:val="394"/>
        </w:trPr>
        <w:tc>
          <w:tcPr>
            <w:tcW w:w="1244" w:type="dxa"/>
            <w:vMerge/>
          </w:tcPr>
          <w:p w:rsidR="00DC3C44" w:rsidRPr="00F25E5C" w:rsidRDefault="00DC3C44" w:rsidP="00195A09">
            <w:pPr>
              <w:bidi/>
              <w:rPr>
                <w:rFonts w:ascii="Traditional Arabic" w:hAnsi="Traditional Arabic" w:cs="Traditional Arabic"/>
                <w:sz w:val="26"/>
                <w:szCs w:val="26"/>
              </w:rPr>
            </w:pPr>
          </w:p>
        </w:tc>
        <w:tc>
          <w:tcPr>
            <w:tcW w:w="1244" w:type="dxa"/>
          </w:tcPr>
          <w:p w:rsidR="00DC3C44" w:rsidRPr="00F25E5C" w:rsidRDefault="00DC3C44" w:rsidP="00195A09">
            <w:pPr>
              <w:bidi/>
              <w:jc w:val="center"/>
              <w:rPr>
                <w:rFonts w:ascii="Traditional Arabic" w:hAnsi="Traditional Arabic" w:cs="Traditional Arabic"/>
                <w:sz w:val="26"/>
                <w:szCs w:val="26"/>
              </w:rPr>
            </w:pPr>
            <w:r>
              <w:rPr>
                <w:rFonts w:ascii="Traditional Arabic" w:hAnsi="Traditional Arabic" w:cs="Traditional Arabic" w:hint="cs"/>
                <w:sz w:val="26"/>
                <w:szCs w:val="26"/>
                <w:rtl/>
              </w:rPr>
              <w:t xml:space="preserve">النصيب </w:t>
            </w:r>
            <w:r>
              <w:rPr>
                <w:rFonts w:ascii="Traditional Arabic" w:hAnsi="Traditional Arabic" w:cs="Traditional Arabic"/>
                <w:sz w:val="26"/>
                <w:szCs w:val="26"/>
              </w:rPr>
              <w:t xml:space="preserve">  </w:t>
            </w:r>
            <w:r w:rsidRPr="00233520">
              <w:rPr>
                <w:rFonts w:ascii="Traditional Arabic" w:hAnsi="Traditional Arabic" w:cs="Traditional Arabic"/>
                <w:sz w:val="24"/>
                <w:szCs w:val="24"/>
              </w:rPr>
              <w:t>%</w:t>
            </w:r>
          </w:p>
        </w:tc>
        <w:tc>
          <w:tcPr>
            <w:tcW w:w="1244" w:type="dxa"/>
          </w:tcPr>
          <w:p w:rsidR="00DC3C44" w:rsidRPr="00F25E5C" w:rsidRDefault="00DC3C44" w:rsidP="00195A09">
            <w:pPr>
              <w:bidi/>
              <w:jc w:val="center"/>
              <w:rPr>
                <w:rFonts w:ascii="Traditional Arabic" w:hAnsi="Traditional Arabic" w:cs="Traditional Arabic"/>
                <w:sz w:val="26"/>
                <w:szCs w:val="26"/>
              </w:rPr>
            </w:pPr>
            <w:r>
              <w:rPr>
                <w:rFonts w:ascii="Traditional Arabic" w:hAnsi="Traditional Arabic" w:cs="Traditional Arabic" w:hint="cs"/>
                <w:sz w:val="26"/>
                <w:szCs w:val="26"/>
                <w:rtl/>
              </w:rPr>
              <w:t>القيمة</w:t>
            </w:r>
          </w:p>
        </w:tc>
        <w:tc>
          <w:tcPr>
            <w:tcW w:w="1244" w:type="dxa"/>
          </w:tcPr>
          <w:p w:rsidR="00DC3C44" w:rsidRPr="00F25E5C" w:rsidRDefault="00DC3C44" w:rsidP="00195A09">
            <w:pPr>
              <w:bidi/>
              <w:jc w:val="center"/>
              <w:rPr>
                <w:rFonts w:ascii="Traditional Arabic" w:hAnsi="Traditional Arabic" w:cs="Traditional Arabic"/>
                <w:sz w:val="26"/>
                <w:szCs w:val="26"/>
              </w:rPr>
            </w:pPr>
            <w:r>
              <w:rPr>
                <w:rFonts w:ascii="Traditional Arabic" w:hAnsi="Traditional Arabic" w:cs="Traditional Arabic" w:hint="cs"/>
                <w:sz w:val="26"/>
                <w:szCs w:val="26"/>
                <w:rtl/>
              </w:rPr>
              <w:t>النصيب</w:t>
            </w:r>
            <w:r>
              <w:rPr>
                <w:rFonts w:ascii="Traditional Arabic" w:hAnsi="Traditional Arabic" w:cs="Traditional Arabic"/>
                <w:sz w:val="26"/>
                <w:szCs w:val="26"/>
              </w:rPr>
              <w:t xml:space="preserve">     </w:t>
            </w:r>
            <w:r w:rsidRPr="00233520">
              <w:rPr>
                <w:rFonts w:ascii="Traditional Arabic" w:hAnsi="Traditional Arabic" w:cs="Traditional Arabic"/>
                <w:sz w:val="24"/>
                <w:szCs w:val="24"/>
              </w:rPr>
              <w:t>%</w:t>
            </w:r>
          </w:p>
        </w:tc>
        <w:tc>
          <w:tcPr>
            <w:tcW w:w="1244" w:type="dxa"/>
          </w:tcPr>
          <w:p w:rsidR="00DC3C44" w:rsidRPr="00F25E5C" w:rsidRDefault="00DC3C44" w:rsidP="00195A09">
            <w:pPr>
              <w:bidi/>
              <w:jc w:val="center"/>
              <w:rPr>
                <w:rFonts w:ascii="Traditional Arabic" w:hAnsi="Traditional Arabic" w:cs="Traditional Arabic"/>
                <w:sz w:val="26"/>
                <w:szCs w:val="26"/>
              </w:rPr>
            </w:pPr>
            <w:r>
              <w:rPr>
                <w:rFonts w:ascii="Traditional Arabic" w:hAnsi="Traditional Arabic" w:cs="Traditional Arabic" w:hint="cs"/>
                <w:sz w:val="26"/>
                <w:szCs w:val="26"/>
                <w:rtl/>
              </w:rPr>
              <w:t>القيمة</w:t>
            </w:r>
          </w:p>
        </w:tc>
        <w:tc>
          <w:tcPr>
            <w:tcW w:w="2960" w:type="dxa"/>
            <w:vMerge/>
            <w:tcBorders>
              <w:tr2bl w:val="single" w:sz="4" w:space="0" w:color="000000" w:themeColor="text1"/>
            </w:tcBorders>
          </w:tcPr>
          <w:p w:rsidR="00DC3C44" w:rsidRPr="001420DA" w:rsidRDefault="00DC3C44" w:rsidP="00195A09">
            <w:pPr>
              <w:bidi/>
              <w:rPr>
                <w:rFonts w:ascii="Traditional Arabic" w:hAnsi="Traditional Arabic" w:cs="Traditional Arabic"/>
                <w:sz w:val="28"/>
                <w:szCs w:val="28"/>
              </w:rPr>
            </w:pP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45.46</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53.15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20985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52.21</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14427</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 xml:space="preserve">الاتحاد الأوروبي </w:t>
            </w: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35.11</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18.35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7246</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19.41</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5363</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منظمة التعاون والتنمية الاقتصادية (دون الاتحاد الأوروبي)</w:t>
            </w: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-7.83</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1.67</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659</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2.59</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715</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بلدان أوروبية أخرى</w:t>
            </w:r>
          </w:p>
        </w:tc>
      </w:tr>
      <w:tr w:rsidR="00DC3C44" w:rsidRPr="00F25E5C" w:rsidTr="00195A09">
        <w:trPr>
          <w:trHeight w:val="382"/>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30.32</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5.52</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2179</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6.05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1672</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أمريكا الجنوبية</w:t>
            </w: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60.17</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17.52</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6916</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15.63</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4318</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آسيا دون البلدان العربية</w:t>
            </w: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بلدان المحيط</w:t>
            </w:r>
          </w:p>
        </w:tc>
      </w:tr>
      <w:tr w:rsidR="00DC3C44" w:rsidRPr="00F25E5C" w:rsidTr="00195A09">
        <w:trPr>
          <w:trHeight w:val="382"/>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13.53</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1.79</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705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2.25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621</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البلدان العربية (دون المغرب العربي)</w:t>
            </w: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38.73</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1.00</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394</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1.03</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284</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بلدان المغرب العربي</w:t>
            </w:r>
          </w:p>
        </w:tc>
      </w:tr>
      <w:tr w:rsidR="00DC3C44" w:rsidRPr="00F25E5C" w:rsidTr="00195A09">
        <w:trPr>
          <w:trHeight w:val="394"/>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71.00</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1.00</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395</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0.84</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231</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بلدان إفريقيا</w:t>
            </w:r>
          </w:p>
        </w:tc>
      </w:tr>
      <w:tr w:rsidR="00DC3C44" w:rsidRPr="00F25E5C" w:rsidTr="00195A09">
        <w:trPr>
          <w:trHeight w:val="405"/>
        </w:trPr>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42.88</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100</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39479</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100</w:t>
            </w:r>
          </w:p>
        </w:tc>
        <w:tc>
          <w:tcPr>
            <w:tcW w:w="1244" w:type="dxa"/>
            <w:vAlign w:val="center"/>
          </w:tcPr>
          <w:p w:rsidR="00DC3C44" w:rsidRPr="00233520" w:rsidRDefault="00DC3C44" w:rsidP="00195A09">
            <w:pPr>
              <w:bidi/>
              <w:jc w:val="center"/>
              <w:rPr>
                <w:rFonts w:ascii="Traditional Arabic" w:hAnsi="Traditional Arabic" w:cs="Traditional Arabic"/>
                <w:sz w:val="24"/>
                <w:szCs w:val="24"/>
              </w:rPr>
            </w:pPr>
            <w:r w:rsidRPr="00233520">
              <w:rPr>
                <w:rFonts w:ascii="Traditional Arabic" w:hAnsi="Traditional Arabic" w:cs="Traditional Arabic" w:hint="cs"/>
                <w:sz w:val="24"/>
                <w:szCs w:val="24"/>
                <w:rtl/>
              </w:rPr>
              <w:t>27631</w:t>
            </w:r>
          </w:p>
        </w:tc>
        <w:tc>
          <w:tcPr>
            <w:tcW w:w="2960" w:type="dxa"/>
          </w:tcPr>
          <w:p w:rsidR="00DC3C44" w:rsidRPr="001420DA" w:rsidRDefault="00DC3C44" w:rsidP="00195A09">
            <w:pPr>
              <w:bidi/>
              <w:rPr>
                <w:rFonts w:ascii="Traditional Arabic" w:hAnsi="Traditional Arabic" w:cs="Traditional Arabic"/>
                <w:sz w:val="28"/>
                <w:szCs w:val="28"/>
              </w:rPr>
            </w:pPr>
            <w:r w:rsidRPr="001420DA">
              <w:rPr>
                <w:rFonts w:ascii="Traditional Arabic" w:hAnsi="Traditional Arabic" w:cs="Traditional Arabic" w:hint="cs"/>
                <w:sz w:val="28"/>
                <w:szCs w:val="28"/>
                <w:rtl/>
              </w:rPr>
              <w:t xml:space="preserve">المجموع </w:t>
            </w:r>
          </w:p>
        </w:tc>
      </w:tr>
    </w:tbl>
    <w:p w:rsidR="00B35CF7" w:rsidRPr="002C0E7F" w:rsidRDefault="00B35CF7" w:rsidP="00A67D63">
      <w:pPr>
        <w:tabs>
          <w:tab w:val="right" w:pos="567"/>
          <w:tab w:val="left" w:pos="8505"/>
        </w:tabs>
        <w:jc w:val="both"/>
        <w:rPr>
          <w:rFonts w:asciiTheme="majorBidi" w:hAnsiTheme="majorBidi" w:cstheme="majorBidi"/>
          <w:sz w:val="20"/>
          <w:szCs w:val="20"/>
          <w:rtl/>
          <w:lang w:bidi="ar-DZ"/>
        </w:rPr>
      </w:pPr>
      <w:r w:rsidRPr="00A6119D">
        <w:rPr>
          <w:rFonts w:asciiTheme="majorBidi" w:hAnsiTheme="majorBidi" w:cstheme="majorBidi"/>
          <w:sz w:val="20"/>
          <w:szCs w:val="20"/>
          <w:lang w:bidi="ar-DZ"/>
        </w:rPr>
        <w:t xml:space="preserve">Source : </w:t>
      </w:r>
      <w:r w:rsidR="00A67D63">
        <w:rPr>
          <w:rFonts w:asciiTheme="majorBidi" w:hAnsiTheme="majorBidi" w:cstheme="majorBidi"/>
          <w:sz w:val="20"/>
          <w:szCs w:val="20"/>
          <w:lang w:bidi="ar-DZ"/>
        </w:rPr>
        <w:t>M</w:t>
      </w:r>
      <w:r w:rsidRPr="00A6119D">
        <w:rPr>
          <w:rFonts w:asciiTheme="majorBidi" w:hAnsiTheme="majorBidi" w:cstheme="majorBidi"/>
          <w:sz w:val="20"/>
          <w:szCs w:val="20"/>
          <w:lang w:bidi="ar-DZ"/>
        </w:rPr>
        <w:t xml:space="preserve">inistère des </w:t>
      </w:r>
      <w:r w:rsidR="00A67D63">
        <w:rPr>
          <w:rFonts w:asciiTheme="majorBidi" w:hAnsiTheme="majorBidi" w:cstheme="majorBidi"/>
          <w:sz w:val="20"/>
          <w:szCs w:val="20"/>
          <w:lang w:bidi="ar-DZ"/>
        </w:rPr>
        <w:t>F</w:t>
      </w:r>
      <w:r w:rsidRPr="00A6119D">
        <w:rPr>
          <w:rFonts w:asciiTheme="majorBidi" w:hAnsiTheme="majorBidi" w:cstheme="majorBidi"/>
          <w:sz w:val="20"/>
          <w:szCs w:val="20"/>
          <w:lang w:bidi="ar-DZ"/>
        </w:rPr>
        <w:t xml:space="preserve">inances, direction générale des douanes, centre national de l’information et des statistiques,  statistiques du commerce extérieur de l’Algérie, 2008, p 5. </w:t>
      </w:r>
    </w:p>
    <w:p w:rsidR="0082459A" w:rsidRDefault="00B35CF7" w:rsidP="00C23F70">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A6119D">
        <w:rPr>
          <w:rFonts w:ascii="Traditional Arabic" w:hAnsi="Traditional Arabic" w:cs="Traditional Arabic" w:hint="cs"/>
          <w:b/>
          <w:bCs/>
          <w:sz w:val="32"/>
          <w:szCs w:val="32"/>
          <w:rtl/>
          <w:lang w:bidi="ar-DZ"/>
        </w:rPr>
        <w:t xml:space="preserve"> </w:t>
      </w:r>
      <w:r w:rsidRPr="00A6119D">
        <w:rPr>
          <w:rFonts w:ascii="Traditional Arabic" w:hAnsi="Traditional Arabic" w:cs="Traditional Arabic" w:hint="cs"/>
          <w:sz w:val="32"/>
          <w:szCs w:val="32"/>
          <w:rtl/>
          <w:lang w:bidi="ar-DZ"/>
        </w:rPr>
        <w:t>فالجزائر تؤمن غالبية وارداتها من دول الاتحاد الأوروبي (الجدول رقم</w:t>
      </w:r>
      <w:r w:rsidR="004F6596">
        <w:rPr>
          <w:rFonts w:ascii="Traditional Arabic" w:hAnsi="Traditional Arabic" w:cs="Traditional Arabic" w:hint="cs"/>
          <w:sz w:val="32"/>
          <w:szCs w:val="32"/>
          <w:rtl/>
          <w:lang w:bidi="ar-DZ"/>
        </w:rPr>
        <w:t xml:space="preserve"> </w:t>
      </w:r>
      <w:r w:rsidR="004F6596">
        <w:rPr>
          <w:rFonts w:ascii="Traditional Arabic" w:hAnsi="Traditional Arabic" w:cs="Traditional Arabic" w:hint="cs"/>
          <w:sz w:val="24"/>
          <w:szCs w:val="24"/>
          <w:rtl/>
          <w:lang w:bidi="ar-DZ"/>
        </w:rPr>
        <w:t>25</w:t>
      </w:r>
      <w:r w:rsidRPr="00A6119D">
        <w:rPr>
          <w:rFonts w:ascii="Traditional Arabic" w:hAnsi="Traditional Arabic" w:cs="Traditional Arabic" w:hint="cs"/>
          <w:sz w:val="32"/>
          <w:szCs w:val="32"/>
          <w:rtl/>
          <w:lang w:bidi="ar-DZ"/>
        </w:rPr>
        <w:t xml:space="preserve">)، كما تزداد قيمتها كل سنة، حيث مثلت حصتها ما يقارب </w:t>
      </w:r>
      <w:r w:rsidRPr="00A6119D">
        <w:rPr>
          <w:rFonts w:ascii="Traditional Arabic" w:hAnsi="Traditional Arabic" w:cs="Traditional Arabic" w:hint="cs"/>
          <w:sz w:val="24"/>
          <w:szCs w:val="24"/>
          <w:rtl/>
          <w:lang w:bidi="ar-DZ"/>
        </w:rPr>
        <w:t>52.21</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24"/>
          <w:szCs w:val="24"/>
          <w:rtl/>
          <w:lang w:bidi="ar-DZ"/>
        </w:rPr>
        <w:t xml:space="preserve"> </w:t>
      </w:r>
      <w:r w:rsidRPr="00A6119D">
        <w:rPr>
          <w:rFonts w:ascii="Traditional Arabic" w:hAnsi="Traditional Arabic" w:cs="Traditional Arabic" w:hint="cs"/>
          <w:sz w:val="32"/>
          <w:szCs w:val="32"/>
          <w:rtl/>
          <w:lang w:bidi="ar-DZ"/>
        </w:rPr>
        <w:t xml:space="preserve">من إجمالي الواردات خلال عام </w:t>
      </w:r>
      <w:r w:rsidRPr="00A6119D">
        <w:rPr>
          <w:rFonts w:ascii="Traditional Arabic" w:hAnsi="Traditional Arabic" w:cs="Traditional Arabic" w:hint="cs"/>
          <w:sz w:val="24"/>
          <w:szCs w:val="24"/>
          <w:rtl/>
          <w:lang w:bidi="ar-DZ"/>
        </w:rPr>
        <w:t>2007</w:t>
      </w:r>
      <w:r w:rsidRPr="00A6119D">
        <w:rPr>
          <w:rFonts w:ascii="Traditional Arabic" w:hAnsi="Traditional Arabic" w:cs="Traditional Arabic" w:hint="cs"/>
          <w:sz w:val="32"/>
          <w:szCs w:val="32"/>
          <w:rtl/>
          <w:lang w:bidi="ar-DZ"/>
        </w:rPr>
        <w:t xml:space="preserve">، وما نسبته </w:t>
      </w:r>
      <w:r w:rsidRPr="00A6119D">
        <w:rPr>
          <w:rFonts w:ascii="Traditional Arabic" w:hAnsi="Traditional Arabic" w:cs="Traditional Arabic" w:hint="cs"/>
          <w:sz w:val="24"/>
          <w:szCs w:val="24"/>
          <w:rtl/>
          <w:lang w:bidi="ar-DZ"/>
        </w:rPr>
        <w:t>53.15</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20"/>
          <w:szCs w:val="20"/>
          <w:rtl/>
          <w:lang w:bidi="ar-DZ"/>
        </w:rPr>
        <w:t xml:space="preserve"> </w:t>
      </w:r>
      <w:r w:rsidRPr="00A6119D">
        <w:rPr>
          <w:rFonts w:ascii="Traditional Arabic" w:hAnsi="Traditional Arabic" w:cs="Traditional Arabic" w:hint="cs"/>
          <w:sz w:val="32"/>
          <w:szCs w:val="32"/>
          <w:rtl/>
          <w:lang w:bidi="ar-DZ"/>
        </w:rPr>
        <w:t xml:space="preserve">خلال عام </w:t>
      </w:r>
      <w:r w:rsidRPr="00A6119D">
        <w:rPr>
          <w:rFonts w:ascii="Traditional Arabic" w:hAnsi="Traditional Arabic" w:cs="Traditional Arabic" w:hint="cs"/>
          <w:sz w:val="24"/>
          <w:szCs w:val="24"/>
          <w:rtl/>
          <w:lang w:bidi="ar-DZ"/>
        </w:rPr>
        <w:lastRenderedPageBreak/>
        <w:t>2008</w:t>
      </w:r>
      <w:r w:rsidRPr="00A6119D">
        <w:rPr>
          <w:rFonts w:ascii="Traditional Arabic" w:hAnsi="Traditional Arabic" w:cs="Traditional Arabic" w:hint="cs"/>
          <w:sz w:val="32"/>
          <w:szCs w:val="32"/>
          <w:rtl/>
          <w:lang w:bidi="ar-DZ"/>
        </w:rPr>
        <w:t xml:space="preserve">. وفي ترتيب موردي الجزائر لعام </w:t>
      </w:r>
      <w:r w:rsidRPr="00A6119D">
        <w:rPr>
          <w:rFonts w:ascii="Traditional Arabic" w:hAnsi="Traditional Arabic" w:cs="Traditional Arabic" w:hint="cs"/>
          <w:sz w:val="24"/>
          <w:szCs w:val="24"/>
          <w:rtl/>
          <w:lang w:bidi="ar-DZ"/>
        </w:rPr>
        <w:t xml:space="preserve">2008 </w:t>
      </w:r>
      <w:r w:rsidRPr="00A6119D">
        <w:rPr>
          <w:rFonts w:ascii="Traditional Arabic" w:hAnsi="Traditional Arabic" w:cs="Traditional Arabic" w:hint="cs"/>
          <w:sz w:val="32"/>
          <w:szCs w:val="32"/>
          <w:rtl/>
          <w:lang w:bidi="ar-DZ"/>
        </w:rPr>
        <w:t xml:space="preserve">تأتي فرنسا في المقدمة بنسبة </w:t>
      </w:r>
      <w:r w:rsidRPr="00A6119D">
        <w:rPr>
          <w:rFonts w:ascii="Traditional Arabic" w:hAnsi="Traditional Arabic" w:cs="Traditional Arabic" w:hint="cs"/>
          <w:sz w:val="24"/>
          <w:szCs w:val="24"/>
          <w:rtl/>
          <w:lang w:bidi="ar-DZ"/>
        </w:rPr>
        <w:t>16.47</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تليها إيطاليا في المرتبة الثانية بنسبة </w:t>
      </w:r>
      <w:r w:rsidRPr="00A6119D">
        <w:rPr>
          <w:rFonts w:ascii="Traditional Arabic" w:hAnsi="Traditional Arabic" w:cs="Traditional Arabic" w:hint="cs"/>
          <w:sz w:val="24"/>
          <w:szCs w:val="24"/>
          <w:rtl/>
          <w:lang w:bidi="ar-DZ"/>
        </w:rPr>
        <w:t>10.93</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ثم تأتي دول أوروبية أخرى مثل اسبانيا وألمانيا. وتحتل في المرتبة الثانية مناطق منظمة التعاون والتنمية الاقتصادية بنسبة </w:t>
      </w:r>
      <w:r w:rsidRPr="00A6119D">
        <w:rPr>
          <w:rFonts w:ascii="Traditional Arabic" w:hAnsi="Traditional Arabic" w:cs="Traditional Arabic" w:hint="cs"/>
          <w:sz w:val="24"/>
          <w:szCs w:val="24"/>
          <w:rtl/>
          <w:lang w:bidi="ar-DZ"/>
        </w:rPr>
        <w:t>18.35</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وفي مقدمتها الولايات المتحدة الأمريكية بمعدل يقدر </w:t>
      </w:r>
      <w:r w:rsidRPr="00A6119D">
        <w:rPr>
          <w:rFonts w:ascii="Traditional Arabic" w:hAnsi="Traditional Arabic" w:cs="Traditional Arabic" w:hint="cs"/>
          <w:sz w:val="24"/>
          <w:szCs w:val="24"/>
          <w:rtl/>
          <w:lang w:bidi="ar-DZ"/>
        </w:rPr>
        <w:t>5.53</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والمرتبة الثالثة تعود لآسيا، حيث مثلت حصتها </w:t>
      </w:r>
      <w:r w:rsidRPr="00A6119D">
        <w:rPr>
          <w:rFonts w:ascii="Traditional Arabic" w:hAnsi="Traditional Arabic" w:cs="Traditional Arabic" w:hint="cs"/>
          <w:sz w:val="24"/>
          <w:szCs w:val="24"/>
          <w:rtl/>
          <w:lang w:bidi="ar-DZ"/>
        </w:rPr>
        <w:t>17.52</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وتعتبر الصين أهم مورد للجزائر في هذه المنطقة بنسبة </w:t>
      </w:r>
      <w:r w:rsidRPr="00A6119D">
        <w:rPr>
          <w:rFonts w:ascii="Traditional Arabic" w:hAnsi="Traditional Arabic" w:cs="Traditional Arabic" w:hint="cs"/>
          <w:sz w:val="24"/>
          <w:szCs w:val="24"/>
          <w:rtl/>
          <w:lang w:bidi="ar-DZ"/>
        </w:rPr>
        <w:t>10.30</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أما التعامل مع الدول العربية ودول المغرب العربي وبلدان إفريقيا فهو ضعيف جدا، وفيما يلي جدول يوضح الموردين العشر الأوائل للجزائر خلال عام </w:t>
      </w:r>
      <w:r w:rsidRPr="00A6119D">
        <w:rPr>
          <w:rFonts w:ascii="Traditional Arabic" w:hAnsi="Traditional Arabic" w:cs="Traditional Arabic" w:hint="cs"/>
          <w:sz w:val="24"/>
          <w:szCs w:val="24"/>
          <w:rtl/>
          <w:lang w:bidi="ar-DZ"/>
        </w:rPr>
        <w:t>2008.</w:t>
      </w:r>
      <w:r w:rsidRPr="00A6119D">
        <w:rPr>
          <w:rFonts w:ascii="Traditional Arabic" w:hAnsi="Traditional Arabic" w:cs="Traditional Arabic" w:hint="cs"/>
          <w:sz w:val="32"/>
          <w:szCs w:val="32"/>
          <w:rtl/>
          <w:lang w:bidi="ar-DZ"/>
        </w:rPr>
        <w:t xml:space="preserve">     </w:t>
      </w:r>
    </w:p>
    <w:p w:rsidR="00B35CF7" w:rsidRPr="00322A37" w:rsidRDefault="00B35CF7" w:rsidP="0067613E">
      <w:pPr>
        <w:tabs>
          <w:tab w:val="right" w:pos="567"/>
          <w:tab w:val="left" w:pos="8505"/>
        </w:tabs>
        <w:bidi/>
        <w:spacing w:after="0"/>
        <w:jc w:val="center"/>
        <w:rPr>
          <w:rFonts w:ascii="Traditional Arabic" w:hAnsi="Traditional Arabic" w:cs="Traditional Arabic"/>
          <w:sz w:val="32"/>
          <w:szCs w:val="32"/>
          <w:rtl/>
          <w:lang w:bidi="ar-DZ"/>
        </w:rPr>
      </w:pPr>
      <w:r w:rsidRPr="00322A37">
        <w:rPr>
          <w:rFonts w:ascii="Traditional Arabic" w:hAnsi="Traditional Arabic" w:cs="Traditional Arabic" w:hint="cs"/>
          <w:sz w:val="32"/>
          <w:szCs w:val="32"/>
          <w:rtl/>
          <w:lang w:bidi="ar-DZ"/>
        </w:rPr>
        <w:t>الجدول رقم</w:t>
      </w:r>
      <w:r w:rsidR="00322A37">
        <w:rPr>
          <w:rFonts w:ascii="Traditional Arabic" w:hAnsi="Traditional Arabic" w:cs="Traditional Arabic"/>
          <w:sz w:val="32"/>
          <w:szCs w:val="32"/>
          <w:lang w:bidi="ar-DZ"/>
        </w:rPr>
        <w:t xml:space="preserve"> </w:t>
      </w:r>
      <w:r w:rsidR="004E4165">
        <w:rPr>
          <w:rFonts w:ascii="Traditional Arabic" w:hAnsi="Traditional Arabic" w:cs="Traditional Arabic" w:hint="cs"/>
          <w:sz w:val="24"/>
          <w:szCs w:val="24"/>
          <w:rtl/>
          <w:lang w:bidi="ar-DZ"/>
        </w:rPr>
        <w:t>26</w:t>
      </w:r>
      <w:r w:rsidRPr="00322A37">
        <w:rPr>
          <w:rFonts w:ascii="Traditional Arabic" w:hAnsi="Traditional Arabic" w:cs="Traditional Arabic" w:hint="cs"/>
          <w:sz w:val="32"/>
          <w:szCs w:val="32"/>
          <w:rtl/>
          <w:lang w:bidi="ar-DZ"/>
        </w:rPr>
        <w:t xml:space="preserve">: الموردين العشر الأوائل للجزائر خلال عام </w:t>
      </w:r>
      <w:r w:rsidRPr="00322A37">
        <w:rPr>
          <w:rFonts w:ascii="Traditional Arabic" w:hAnsi="Traditional Arabic" w:cs="Traditional Arabic" w:hint="cs"/>
          <w:sz w:val="24"/>
          <w:szCs w:val="24"/>
          <w:rtl/>
          <w:lang w:bidi="ar-DZ"/>
        </w:rPr>
        <w:t>2008</w:t>
      </w:r>
    </w:p>
    <w:tbl>
      <w:tblPr>
        <w:tblStyle w:val="Grilledutableau"/>
        <w:bidiVisual/>
        <w:tblW w:w="6367" w:type="dxa"/>
        <w:jc w:val="center"/>
        <w:tblInd w:w="-642" w:type="dxa"/>
        <w:tblLayout w:type="fixed"/>
        <w:tblLook w:val="04A0"/>
      </w:tblPr>
      <w:tblGrid>
        <w:gridCol w:w="2616"/>
        <w:gridCol w:w="1842"/>
        <w:gridCol w:w="1909"/>
      </w:tblGrid>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الدول</w:t>
            </w:r>
          </w:p>
        </w:tc>
        <w:tc>
          <w:tcPr>
            <w:tcW w:w="1842"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القيمة مليون دولار</w:t>
            </w:r>
          </w:p>
        </w:tc>
        <w:tc>
          <w:tcPr>
            <w:tcW w:w="1909"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 xml:space="preserve">النصيب </w:t>
            </w:r>
            <w:r w:rsidRPr="00393EED">
              <w:rPr>
                <w:rFonts w:ascii="Traditional Arabic" w:hAnsi="Traditional Arabic" w:cs="Traditional Arabic"/>
                <w:sz w:val="24"/>
                <w:szCs w:val="24"/>
                <w:rtl/>
                <w:lang w:bidi="ar-DZ"/>
              </w:rPr>
              <w:t>%</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فرنسا</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6503.78</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16.47</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إيطاليا</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4313.16</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10.93</w:t>
            </w:r>
          </w:p>
        </w:tc>
      </w:tr>
      <w:tr w:rsidR="00B35CF7" w:rsidRPr="00F86B78" w:rsidTr="007949D9">
        <w:trPr>
          <w:trHeight w:val="31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الصين</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4066.95</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10.30</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اسبانيا</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2914.79</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7.38</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ألمانيا</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2411.41</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6.11</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الولايات المتحدة الأمريكية</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2181.58</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5.53</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اليابان</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1416.73</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3.59</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تركيا</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1345.75</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3.41</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الأرجنتين</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1263.24</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3.20</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كندا</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968.90</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2.45</w:t>
            </w:r>
          </w:p>
        </w:tc>
      </w:tr>
      <w:tr w:rsidR="00B35CF7" w:rsidRPr="00F86B78" w:rsidTr="007949D9">
        <w:trPr>
          <w:trHeight w:val="276"/>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المجموع</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27386.30</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69.37</w:t>
            </w:r>
          </w:p>
        </w:tc>
      </w:tr>
      <w:tr w:rsidR="00B35CF7" w:rsidRPr="00F86B78" w:rsidTr="007949D9">
        <w:trPr>
          <w:trHeight w:val="282"/>
          <w:jc w:val="center"/>
        </w:trPr>
        <w:tc>
          <w:tcPr>
            <w:tcW w:w="2616" w:type="dxa"/>
            <w:vAlign w:val="center"/>
          </w:tcPr>
          <w:p w:rsidR="00B35CF7" w:rsidRPr="00D84B02" w:rsidRDefault="00B35CF7" w:rsidP="00EC74F4">
            <w:pPr>
              <w:tabs>
                <w:tab w:val="right" w:pos="567"/>
                <w:tab w:val="left" w:pos="8505"/>
              </w:tabs>
              <w:bidi/>
              <w:jc w:val="center"/>
              <w:rPr>
                <w:rFonts w:ascii="Traditional Arabic" w:hAnsi="Traditional Arabic" w:cs="Traditional Arabic"/>
                <w:sz w:val="28"/>
                <w:szCs w:val="28"/>
                <w:rtl/>
                <w:lang w:bidi="ar-DZ"/>
              </w:rPr>
            </w:pPr>
            <w:r w:rsidRPr="00D84B02">
              <w:rPr>
                <w:rFonts w:ascii="Traditional Arabic" w:hAnsi="Traditional Arabic" w:cs="Traditional Arabic" w:hint="cs"/>
                <w:sz w:val="28"/>
                <w:szCs w:val="28"/>
                <w:rtl/>
                <w:lang w:bidi="ar-DZ"/>
              </w:rPr>
              <w:t>المجموع الكلي للواردات</w:t>
            </w:r>
          </w:p>
        </w:tc>
        <w:tc>
          <w:tcPr>
            <w:tcW w:w="1842"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39479.27</w:t>
            </w:r>
          </w:p>
        </w:tc>
        <w:tc>
          <w:tcPr>
            <w:tcW w:w="1909" w:type="dxa"/>
            <w:vAlign w:val="center"/>
          </w:tcPr>
          <w:p w:rsidR="00B35CF7" w:rsidRPr="00F86B78" w:rsidRDefault="00B35CF7" w:rsidP="00EC74F4">
            <w:pPr>
              <w:tabs>
                <w:tab w:val="right" w:pos="567"/>
                <w:tab w:val="left" w:pos="8505"/>
              </w:tabs>
              <w:bidi/>
              <w:jc w:val="center"/>
              <w:rPr>
                <w:rFonts w:ascii="Traditional Arabic" w:hAnsi="Traditional Arabic" w:cs="Traditional Arabic"/>
                <w:sz w:val="24"/>
                <w:szCs w:val="24"/>
                <w:rtl/>
                <w:lang w:bidi="ar-DZ"/>
              </w:rPr>
            </w:pPr>
            <w:r w:rsidRPr="00F86B78">
              <w:rPr>
                <w:rFonts w:ascii="Traditional Arabic" w:hAnsi="Traditional Arabic" w:cs="Traditional Arabic" w:hint="cs"/>
                <w:sz w:val="24"/>
                <w:szCs w:val="24"/>
                <w:rtl/>
                <w:lang w:bidi="ar-DZ"/>
              </w:rPr>
              <w:t>100</w:t>
            </w:r>
          </w:p>
        </w:tc>
      </w:tr>
    </w:tbl>
    <w:p w:rsidR="00EE1067" w:rsidRPr="008F7215" w:rsidRDefault="00B35CF7" w:rsidP="008F7215">
      <w:pPr>
        <w:tabs>
          <w:tab w:val="right" w:pos="567"/>
          <w:tab w:val="left" w:pos="8505"/>
        </w:tabs>
        <w:jc w:val="center"/>
        <w:rPr>
          <w:rFonts w:asciiTheme="majorBidi" w:hAnsiTheme="majorBidi" w:cstheme="majorBidi"/>
          <w:sz w:val="20"/>
          <w:szCs w:val="20"/>
          <w:lang w:bidi="ar-DZ"/>
        </w:rPr>
      </w:pPr>
      <w:r w:rsidRPr="008F7215">
        <w:rPr>
          <w:rFonts w:asciiTheme="majorBidi" w:hAnsiTheme="majorBidi" w:cstheme="majorBidi"/>
          <w:sz w:val="20"/>
          <w:szCs w:val="20"/>
          <w:lang w:bidi="ar-DZ"/>
        </w:rPr>
        <w:t xml:space="preserve">Source: </w:t>
      </w:r>
      <w:r w:rsidR="008F7215" w:rsidRPr="008F7215">
        <w:rPr>
          <w:rFonts w:asciiTheme="majorBidi" w:hAnsiTheme="majorBidi" w:cstheme="majorBidi"/>
          <w:sz w:val="20"/>
          <w:szCs w:val="20"/>
          <w:lang w:bidi="ar-DZ"/>
        </w:rPr>
        <w:t xml:space="preserve">Ministère du </w:t>
      </w:r>
      <w:r w:rsidR="008F7215">
        <w:rPr>
          <w:rFonts w:asciiTheme="majorBidi" w:hAnsiTheme="majorBidi" w:cstheme="majorBidi"/>
          <w:sz w:val="20"/>
          <w:szCs w:val="20"/>
          <w:lang w:bidi="ar-DZ"/>
        </w:rPr>
        <w:t>C</w:t>
      </w:r>
      <w:r w:rsidR="008F7215" w:rsidRPr="008F7215">
        <w:rPr>
          <w:rFonts w:asciiTheme="majorBidi" w:hAnsiTheme="majorBidi" w:cstheme="majorBidi"/>
          <w:sz w:val="20"/>
          <w:szCs w:val="20"/>
          <w:lang w:bidi="ar-DZ"/>
        </w:rPr>
        <w:t>ommerce, agence nationale de promotion du commerce extérieur, algex</w:t>
      </w:r>
      <w:r w:rsidR="008F7215">
        <w:rPr>
          <w:rFonts w:asciiTheme="majorBidi" w:hAnsiTheme="majorBidi" w:cstheme="majorBidi"/>
          <w:sz w:val="20"/>
          <w:szCs w:val="20"/>
          <w:lang w:bidi="ar-DZ"/>
        </w:rPr>
        <w:t>.</w:t>
      </w:r>
      <w:r w:rsidR="0033142B">
        <w:rPr>
          <w:rFonts w:asciiTheme="majorBidi" w:hAnsiTheme="majorBidi" w:cstheme="majorBidi"/>
          <w:sz w:val="20"/>
          <w:szCs w:val="20"/>
          <w:lang w:bidi="ar-DZ"/>
        </w:rPr>
        <w:t xml:space="preserve"> </w:t>
      </w:r>
    </w:p>
    <w:p w:rsidR="00B35CF7" w:rsidRPr="00A6119D" w:rsidRDefault="002E03CB" w:rsidP="00802510">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 xml:space="preserve">     </w:t>
      </w:r>
      <w:r w:rsidR="00B35CF7">
        <w:rPr>
          <w:rFonts w:ascii="Traditional Arabic" w:hAnsi="Traditional Arabic" w:cs="Traditional Arabic" w:hint="cs"/>
          <w:sz w:val="32"/>
          <w:szCs w:val="32"/>
          <w:rtl/>
          <w:lang w:bidi="ar-DZ"/>
        </w:rPr>
        <w:t xml:space="preserve">  كما أنه ليس هناك تأثير مباشر ل</w:t>
      </w:r>
      <w:r w:rsidR="00B35CF7" w:rsidRPr="00A6119D">
        <w:rPr>
          <w:rFonts w:ascii="Traditional Arabic" w:hAnsi="Traditional Arabic" w:cs="Traditional Arabic" w:hint="cs"/>
          <w:sz w:val="32"/>
          <w:szCs w:val="32"/>
          <w:rtl/>
          <w:lang w:bidi="ar-DZ"/>
        </w:rPr>
        <w:t xml:space="preserve">لأورو على الصادرات الجزائرية باعتبار أن حوالي </w:t>
      </w:r>
      <w:r w:rsidR="00B35CF7" w:rsidRPr="00A6119D">
        <w:rPr>
          <w:rFonts w:ascii="Traditional Arabic" w:hAnsi="Traditional Arabic" w:cs="Traditional Arabic" w:hint="cs"/>
          <w:sz w:val="24"/>
          <w:szCs w:val="24"/>
          <w:rtl/>
          <w:lang w:bidi="ar-DZ"/>
        </w:rPr>
        <w:t>97</w:t>
      </w:r>
      <w:r w:rsidR="00B35CF7" w:rsidRPr="00A6119D">
        <w:rPr>
          <w:rFonts w:ascii="Traditional Arabic" w:hAnsi="Traditional Arabic" w:cs="Traditional Arabic"/>
          <w:sz w:val="24"/>
          <w:szCs w:val="24"/>
          <w:rtl/>
          <w:lang w:bidi="ar-DZ"/>
        </w:rPr>
        <w:t>%</w:t>
      </w:r>
      <w:r w:rsidR="00B35CF7" w:rsidRPr="00A6119D">
        <w:rPr>
          <w:rFonts w:ascii="Traditional Arabic" w:hAnsi="Traditional Arabic" w:cs="Traditional Arabic" w:hint="cs"/>
          <w:sz w:val="24"/>
          <w:szCs w:val="24"/>
          <w:rtl/>
          <w:lang w:bidi="ar-DZ"/>
        </w:rPr>
        <w:t xml:space="preserve"> </w:t>
      </w:r>
      <w:r w:rsidR="00B35CF7" w:rsidRPr="00A6119D">
        <w:rPr>
          <w:rFonts w:ascii="Traditional Arabic" w:hAnsi="Traditional Arabic" w:cs="Traditional Arabic" w:hint="cs"/>
          <w:sz w:val="32"/>
          <w:szCs w:val="32"/>
          <w:rtl/>
          <w:lang w:bidi="ar-DZ"/>
        </w:rPr>
        <w:t>من إجمالي الصادرات عبارة عن محروقات</w:t>
      </w:r>
      <w:r w:rsidR="00B35CF7">
        <w:rPr>
          <w:rFonts w:ascii="Traditional Arabic" w:hAnsi="Traditional Arabic" w:cs="Traditional Arabic" w:hint="cs"/>
          <w:sz w:val="32"/>
          <w:szCs w:val="32"/>
          <w:rtl/>
          <w:lang w:bidi="ar-DZ"/>
        </w:rPr>
        <w:t xml:space="preserve"> </w:t>
      </w:r>
      <w:r w:rsidR="00B35CF7" w:rsidRPr="00A6119D">
        <w:rPr>
          <w:rFonts w:ascii="Traditional Arabic" w:hAnsi="Traditional Arabic" w:cs="Traditional Arabic" w:hint="cs"/>
          <w:sz w:val="32"/>
          <w:szCs w:val="32"/>
          <w:rtl/>
          <w:lang w:bidi="ar-DZ"/>
        </w:rPr>
        <w:t>(</w:t>
      </w:r>
      <w:r w:rsidR="00F25524">
        <w:rPr>
          <w:rFonts w:ascii="Traditional Arabic" w:hAnsi="Traditional Arabic" w:cs="Traditional Arabic" w:hint="cs"/>
          <w:sz w:val="32"/>
          <w:szCs w:val="32"/>
          <w:rtl/>
          <w:lang w:bidi="ar-DZ"/>
        </w:rPr>
        <w:t xml:space="preserve">أنظر </w:t>
      </w:r>
      <w:r w:rsidR="00B35CF7" w:rsidRPr="00A6119D">
        <w:rPr>
          <w:rFonts w:ascii="Traditional Arabic" w:hAnsi="Traditional Arabic" w:cs="Traditional Arabic" w:hint="cs"/>
          <w:sz w:val="32"/>
          <w:szCs w:val="32"/>
          <w:rtl/>
          <w:lang w:bidi="ar-DZ"/>
        </w:rPr>
        <w:t>الجدول</w:t>
      </w:r>
      <w:r w:rsidR="00F25524">
        <w:rPr>
          <w:rFonts w:ascii="Traditional Arabic" w:hAnsi="Traditional Arabic" w:cs="Traditional Arabic" w:hint="cs"/>
          <w:sz w:val="32"/>
          <w:szCs w:val="32"/>
          <w:rtl/>
          <w:lang w:bidi="ar-DZ"/>
        </w:rPr>
        <w:t xml:space="preserve"> رقم </w:t>
      </w:r>
      <w:r w:rsidR="00F25524" w:rsidRPr="00F25524">
        <w:rPr>
          <w:rFonts w:ascii="Traditional Arabic" w:hAnsi="Traditional Arabic" w:cs="Traditional Arabic" w:hint="cs"/>
          <w:sz w:val="24"/>
          <w:szCs w:val="24"/>
          <w:rtl/>
          <w:lang w:bidi="ar-DZ"/>
        </w:rPr>
        <w:t>27</w:t>
      </w:r>
      <w:r w:rsidR="00B35CF7" w:rsidRPr="00A6119D">
        <w:rPr>
          <w:rFonts w:ascii="Traditional Arabic" w:hAnsi="Traditional Arabic" w:cs="Traditional Arabic" w:hint="cs"/>
          <w:sz w:val="32"/>
          <w:szCs w:val="32"/>
          <w:rtl/>
          <w:lang w:bidi="ar-DZ"/>
        </w:rPr>
        <w:t xml:space="preserve">)، وهي مسعرة بالدولار الأمريكي، حيث بلغت عام </w:t>
      </w:r>
      <w:r w:rsidR="00B35CF7" w:rsidRPr="00A6119D">
        <w:rPr>
          <w:rFonts w:ascii="Traditional Arabic" w:hAnsi="Traditional Arabic" w:cs="Traditional Arabic" w:hint="cs"/>
          <w:sz w:val="24"/>
          <w:szCs w:val="24"/>
          <w:rtl/>
          <w:lang w:bidi="ar-DZ"/>
        </w:rPr>
        <w:t xml:space="preserve">2008 </w:t>
      </w:r>
      <w:r w:rsidR="00B35CF7" w:rsidRPr="00A6119D">
        <w:rPr>
          <w:rFonts w:ascii="Traditional Arabic" w:hAnsi="Traditional Arabic" w:cs="Traditional Arabic" w:hint="cs"/>
          <w:sz w:val="32"/>
          <w:szCs w:val="32"/>
          <w:rtl/>
          <w:lang w:bidi="ar-DZ"/>
        </w:rPr>
        <w:t xml:space="preserve">مقدار </w:t>
      </w:r>
      <w:r w:rsidR="00B35CF7" w:rsidRPr="00A6119D">
        <w:rPr>
          <w:rFonts w:ascii="Traditional Arabic" w:hAnsi="Traditional Arabic" w:cs="Traditional Arabic" w:hint="cs"/>
          <w:sz w:val="24"/>
          <w:szCs w:val="24"/>
          <w:rtl/>
          <w:lang w:bidi="ar-DZ"/>
        </w:rPr>
        <w:t xml:space="preserve">77.36 </w:t>
      </w:r>
      <w:r w:rsidR="00B35CF7" w:rsidRPr="00A6119D">
        <w:rPr>
          <w:rFonts w:ascii="Traditional Arabic" w:hAnsi="Traditional Arabic" w:cs="Traditional Arabic" w:hint="cs"/>
          <w:sz w:val="32"/>
          <w:szCs w:val="32"/>
          <w:rtl/>
          <w:lang w:bidi="ar-DZ"/>
        </w:rPr>
        <w:t xml:space="preserve">مليار دولار بعد أن كانت تعادل حوالي </w:t>
      </w:r>
      <w:r w:rsidR="00B35CF7" w:rsidRPr="00A6119D">
        <w:rPr>
          <w:rFonts w:ascii="Traditional Arabic" w:hAnsi="Traditional Arabic" w:cs="Traditional Arabic" w:hint="cs"/>
          <w:sz w:val="24"/>
          <w:szCs w:val="24"/>
          <w:rtl/>
          <w:lang w:bidi="ar-DZ"/>
        </w:rPr>
        <w:t xml:space="preserve">31.39 </w:t>
      </w:r>
      <w:r w:rsidR="00B35CF7" w:rsidRPr="00A6119D">
        <w:rPr>
          <w:rFonts w:ascii="Traditional Arabic" w:hAnsi="Traditional Arabic" w:cs="Traditional Arabic" w:hint="cs"/>
          <w:sz w:val="32"/>
          <w:szCs w:val="32"/>
          <w:rtl/>
          <w:lang w:bidi="ar-DZ"/>
        </w:rPr>
        <w:t xml:space="preserve">مليار دولار عام </w:t>
      </w:r>
      <w:r w:rsidR="00B35CF7" w:rsidRPr="00A6119D">
        <w:rPr>
          <w:rFonts w:ascii="Traditional Arabic" w:hAnsi="Traditional Arabic" w:cs="Traditional Arabic" w:hint="cs"/>
          <w:sz w:val="24"/>
          <w:szCs w:val="24"/>
          <w:rtl/>
          <w:lang w:bidi="ar-DZ"/>
        </w:rPr>
        <w:t>2004</w:t>
      </w:r>
      <w:r w:rsidR="00B35CF7" w:rsidRPr="00A6119D">
        <w:rPr>
          <w:rFonts w:ascii="Traditional Arabic" w:hAnsi="Traditional Arabic" w:cs="Traditional Arabic" w:hint="cs"/>
          <w:sz w:val="32"/>
          <w:szCs w:val="32"/>
          <w:rtl/>
          <w:lang w:bidi="ar-DZ"/>
        </w:rPr>
        <w:t xml:space="preserve">، ويعود هذا الارتفاع بالدرجة الأولى إلى التحسن المسجل </w:t>
      </w:r>
      <w:r w:rsidR="00CE401F">
        <w:rPr>
          <w:rFonts w:ascii="Traditional Arabic" w:hAnsi="Traditional Arabic" w:cs="Traditional Arabic" w:hint="cs"/>
          <w:sz w:val="32"/>
          <w:szCs w:val="32"/>
          <w:rtl/>
          <w:lang w:bidi="ar-DZ"/>
        </w:rPr>
        <w:t>في أسعار النفط، حيث انتقل</w:t>
      </w:r>
      <w:r w:rsidR="00CC0E40">
        <w:rPr>
          <w:rFonts w:ascii="Traditional Arabic" w:hAnsi="Traditional Arabic" w:cs="Traditional Arabic" w:hint="cs"/>
          <w:sz w:val="32"/>
          <w:szCs w:val="32"/>
          <w:rtl/>
          <w:lang w:bidi="ar-DZ"/>
        </w:rPr>
        <w:t xml:space="preserve"> المتوسط السنوي</w:t>
      </w:r>
      <w:r w:rsidR="00CE401F">
        <w:rPr>
          <w:rFonts w:ascii="Traditional Arabic" w:hAnsi="Traditional Arabic" w:cs="Traditional Arabic" w:hint="cs"/>
          <w:sz w:val="32"/>
          <w:szCs w:val="32"/>
          <w:rtl/>
          <w:lang w:bidi="ar-DZ"/>
        </w:rPr>
        <w:t xml:space="preserve"> </w:t>
      </w:r>
      <w:r w:rsidR="00CC0E40">
        <w:rPr>
          <w:rFonts w:ascii="Traditional Arabic" w:hAnsi="Traditional Arabic" w:cs="Traditional Arabic" w:hint="cs"/>
          <w:sz w:val="32"/>
          <w:szCs w:val="32"/>
          <w:rtl/>
          <w:lang w:bidi="ar-DZ"/>
        </w:rPr>
        <w:t>ل</w:t>
      </w:r>
      <w:r w:rsidR="00CE401F">
        <w:rPr>
          <w:rFonts w:ascii="Traditional Arabic" w:hAnsi="Traditional Arabic" w:cs="Traditional Arabic" w:hint="cs"/>
          <w:sz w:val="32"/>
          <w:szCs w:val="32"/>
          <w:rtl/>
          <w:lang w:bidi="ar-DZ"/>
        </w:rPr>
        <w:t xml:space="preserve">سعر </w:t>
      </w:r>
      <w:r w:rsidR="00B35CF7" w:rsidRPr="00A6119D">
        <w:rPr>
          <w:rFonts w:ascii="Traditional Arabic" w:hAnsi="Traditional Arabic" w:cs="Traditional Arabic" w:hint="cs"/>
          <w:sz w:val="32"/>
          <w:szCs w:val="32"/>
          <w:rtl/>
          <w:lang w:bidi="ar-DZ"/>
        </w:rPr>
        <w:t>برميل</w:t>
      </w:r>
      <w:r w:rsidR="00CE401F">
        <w:rPr>
          <w:rFonts w:ascii="Traditional Arabic" w:hAnsi="Traditional Arabic" w:cs="Traditional Arabic" w:hint="cs"/>
          <w:sz w:val="32"/>
          <w:szCs w:val="32"/>
          <w:rtl/>
          <w:lang w:bidi="ar-DZ"/>
        </w:rPr>
        <w:t xml:space="preserve"> البرنت</w:t>
      </w:r>
      <w:r w:rsidR="00787816">
        <w:rPr>
          <w:rFonts w:ascii="Traditional Arabic" w:hAnsi="Traditional Arabic" w:cs="Traditional Arabic" w:hint="cs"/>
          <w:sz w:val="32"/>
          <w:szCs w:val="32"/>
          <w:rtl/>
          <w:lang w:bidi="ar-DZ"/>
        </w:rPr>
        <w:t xml:space="preserve"> </w:t>
      </w:r>
      <w:r w:rsidR="00B35CF7" w:rsidRPr="00A6119D">
        <w:rPr>
          <w:rFonts w:ascii="Traditional Arabic" w:hAnsi="Traditional Arabic" w:cs="Traditional Arabic" w:hint="cs"/>
          <w:sz w:val="32"/>
          <w:szCs w:val="32"/>
          <w:rtl/>
          <w:lang w:bidi="ar-DZ"/>
        </w:rPr>
        <w:t xml:space="preserve">من </w:t>
      </w:r>
      <w:r w:rsidR="00584B38">
        <w:rPr>
          <w:rFonts w:ascii="Traditional Arabic" w:hAnsi="Traditional Arabic" w:cs="Traditional Arabic" w:hint="cs"/>
          <w:sz w:val="24"/>
          <w:szCs w:val="24"/>
          <w:rtl/>
          <w:lang w:bidi="ar-DZ"/>
        </w:rPr>
        <w:t>17.9</w:t>
      </w:r>
      <w:r w:rsidR="00C770EE">
        <w:rPr>
          <w:rFonts w:ascii="Traditional Arabic" w:hAnsi="Traditional Arabic" w:cs="Traditional Arabic" w:hint="cs"/>
          <w:sz w:val="24"/>
          <w:szCs w:val="24"/>
          <w:rtl/>
          <w:lang w:bidi="ar-DZ"/>
        </w:rPr>
        <w:t>2</w:t>
      </w:r>
      <w:r w:rsidR="00584B38">
        <w:rPr>
          <w:rFonts w:ascii="Traditional Arabic" w:hAnsi="Traditional Arabic" w:cs="Traditional Arabic" w:hint="cs"/>
          <w:sz w:val="32"/>
          <w:szCs w:val="32"/>
          <w:rtl/>
          <w:lang w:bidi="ar-DZ"/>
        </w:rPr>
        <w:t xml:space="preserve"> دولار للبرميل عام</w:t>
      </w:r>
      <w:r w:rsidR="00B35CF7" w:rsidRPr="00A6119D">
        <w:rPr>
          <w:rFonts w:ascii="Traditional Arabic" w:hAnsi="Traditional Arabic" w:cs="Traditional Arabic" w:hint="cs"/>
          <w:sz w:val="32"/>
          <w:szCs w:val="32"/>
          <w:rtl/>
          <w:lang w:bidi="ar-DZ"/>
        </w:rPr>
        <w:t xml:space="preserve"> </w:t>
      </w:r>
      <w:r w:rsidR="00584B38" w:rsidRPr="00584B38">
        <w:rPr>
          <w:rFonts w:ascii="Traditional Arabic" w:hAnsi="Traditional Arabic" w:cs="Traditional Arabic" w:hint="cs"/>
          <w:sz w:val="24"/>
          <w:szCs w:val="24"/>
          <w:rtl/>
          <w:lang w:bidi="ar-DZ"/>
        </w:rPr>
        <w:t>1999</w:t>
      </w:r>
      <w:r w:rsidR="00B35CF7" w:rsidRPr="00A6119D">
        <w:rPr>
          <w:rFonts w:ascii="Traditional Arabic" w:hAnsi="Traditional Arabic" w:cs="Traditional Arabic" w:hint="cs"/>
          <w:sz w:val="32"/>
          <w:szCs w:val="32"/>
          <w:rtl/>
          <w:lang w:bidi="ar-DZ"/>
        </w:rPr>
        <w:t xml:space="preserve"> إلى </w:t>
      </w:r>
      <w:r w:rsidR="0045648F">
        <w:rPr>
          <w:rFonts w:ascii="Traditional Arabic" w:hAnsi="Traditional Arabic" w:cs="Traditional Arabic" w:hint="cs"/>
          <w:sz w:val="24"/>
          <w:szCs w:val="24"/>
          <w:rtl/>
          <w:lang w:bidi="ar-DZ"/>
        </w:rPr>
        <w:t>54.41</w:t>
      </w:r>
      <w:r w:rsidR="00B35CF7" w:rsidRPr="00A6119D">
        <w:rPr>
          <w:rFonts w:ascii="Traditional Arabic" w:hAnsi="Traditional Arabic" w:cs="Traditional Arabic" w:hint="cs"/>
          <w:sz w:val="32"/>
          <w:szCs w:val="32"/>
          <w:rtl/>
          <w:lang w:bidi="ar-DZ"/>
        </w:rPr>
        <w:t xml:space="preserve"> دولار للبرميل عام </w:t>
      </w:r>
      <w:r w:rsidR="00584B38" w:rsidRPr="00584B38">
        <w:rPr>
          <w:rFonts w:ascii="Traditional Arabic" w:hAnsi="Traditional Arabic" w:cs="Traditional Arabic" w:hint="cs"/>
          <w:sz w:val="24"/>
          <w:szCs w:val="24"/>
          <w:rtl/>
          <w:lang w:bidi="ar-DZ"/>
        </w:rPr>
        <w:t>2005</w:t>
      </w:r>
      <w:r w:rsidR="00584B38">
        <w:rPr>
          <w:rFonts w:ascii="Traditional Arabic" w:hAnsi="Traditional Arabic" w:cs="Traditional Arabic" w:hint="cs"/>
          <w:sz w:val="32"/>
          <w:szCs w:val="32"/>
          <w:rtl/>
          <w:lang w:bidi="ar-DZ"/>
        </w:rPr>
        <w:t>، و</w:t>
      </w:r>
      <w:r w:rsidR="0045648F">
        <w:rPr>
          <w:rFonts w:ascii="Traditional Arabic" w:hAnsi="Traditional Arabic" w:cs="Traditional Arabic" w:hint="cs"/>
          <w:sz w:val="24"/>
          <w:szCs w:val="24"/>
          <w:rtl/>
          <w:lang w:bidi="ar-DZ"/>
        </w:rPr>
        <w:t>72.45</w:t>
      </w:r>
      <w:r w:rsidR="00A7673D">
        <w:rPr>
          <w:rFonts w:ascii="Traditional Arabic" w:hAnsi="Traditional Arabic" w:cs="Traditional Arabic" w:hint="cs"/>
          <w:sz w:val="24"/>
          <w:szCs w:val="24"/>
          <w:rtl/>
          <w:lang w:bidi="ar-DZ"/>
        </w:rPr>
        <w:t xml:space="preserve"> </w:t>
      </w:r>
      <w:r w:rsidR="00B35CF7" w:rsidRPr="00A6119D">
        <w:rPr>
          <w:rFonts w:ascii="Traditional Arabic" w:hAnsi="Traditional Arabic" w:cs="Traditional Arabic" w:hint="cs"/>
          <w:sz w:val="32"/>
          <w:szCs w:val="32"/>
          <w:rtl/>
          <w:lang w:bidi="ar-DZ"/>
        </w:rPr>
        <w:t>دولار للبرميل</w:t>
      </w:r>
      <w:r w:rsidR="00A7673D">
        <w:rPr>
          <w:rFonts w:ascii="Traditional Arabic" w:hAnsi="Traditional Arabic" w:cs="Traditional Arabic" w:hint="cs"/>
          <w:sz w:val="32"/>
          <w:szCs w:val="32"/>
          <w:rtl/>
          <w:lang w:bidi="ar-DZ"/>
        </w:rPr>
        <w:t xml:space="preserve"> عام </w:t>
      </w:r>
      <w:r w:rsidR="00A7673D" w:rsidRPr="00A7673D">
        <w:rPr>
          <w:rFonts w:ascii="Traditional Arabic" w:hAnsi="Traditional Arabic" w:cs="Traditional Arabic" w:hint="cs"/>
          <w:sz w:val="24"/>
          <w:szCs w:val="24"/>
          <w:rtl/>
          <w:lang w:bidi="ar-DZ"/>
        </w:rPr>
        <w:t>2007</w:t>
      </w:r>
      <w:r w:rsidR="00A7673D">
        <w:rPr>
          <w:rFonts w:ascii="Traditional Arabic" w:hAnsi="Traditional Arabic" w:cs="Traditional Arabic" w:hint="cs"/>
          <w:sz w:val="32"/>
          <w:szCs w:val="32"/>
          <w:rtl/>
          <w:lang w:bidi="ar-DZ"/>
        </w:rPr>
        <w:t>،</w:t>
      </w:r>
      <w:r w:rsidR="00205648" w:rsidRPr="00205648">
        <w:rPr>
          <w:rFonts w:ascii="Traditional Arabic" w:hAnsi="Traditional Arabic" w:cs="Traditional Arabic" w:hint="cs"/>
          <w:sz w:val="32"/>
          <w:szCs w:val="32"/>
          <w:rtl/>
          <w:lang w:bidi="ar-DZ"/>
        </w:rPr>
        <w:t xml:space="preserve"> </w:t>
      </w:r>
      <w:r w:rsidR="00205648">
        <w:rPr>
          <w:rFonts w:ascii="Traditional Arabic" w:hAnsi="Traditional Arabic" w:cs="Traditional Arabic" w:hint="cs"/>
          <w:sz w:val="32"/>
          <w:szCs w:val="32"/>
          <w:rtl/>
          <w:lang w:bidi="ar-DZ"/>
        </w:rPr>
        <w:t xml:space="preserve">وقدر في عام </w:t>
      </w:r>
      <w:r w:rsidR="00205648" w:rsidRPr="00205648">
        <w:rPr>
          <w:rFonts w:ascii="Traditional Arabic" w:hAnsi="Traditional Arabic" w:cs="Traditional Arabic" w:hint="cs"/>
          <w:sz w:val="24"/>
          <w:szCs w:val="24"/>
          <w:rtl/>
          <w:lang w:bidi="ar-DZ"/>
        </w:rPr>
        <w:t xml:space="preserve">2008 </w:t>
      </w:r>
      <w:r w:rsidR="00205648">
        <w:rPr>
          <w:rFonts w:ascii="Traditional Arabic" w:hAnsi="Traditional Arabic" w:cs="Traditional Arabic" w:hint="cs"/>
          <w:sz w:val="32"/>
          <w:szCs w:val="32"/>
          <w:rtl/>
          <w:lang w:bidi="ar-DZ"/>
        </w:rPr>
        <w:t>بـ</w:t>
      </w:r>
      <w:r w:rsidR="00205648" w:rsidRPr="00205648">
        <w:rPr>
          <w:rFonts w:ascii="Traditional Arabic" w:hAnsi="Traditional Arabic" w:cs="Traditional Arabic" w:hint="cs"/>
          <w:sz w:val="24"/>
          <w:szCs w:val="24"/>
          <w:rtl/>
          <w:lang w:bidi="ar-DZ"/>
        </w:rPr>
        <w:t xml:space="preserve">96.99 </w:t>
      </w:r>
      <w:r w:rsidR="00205648">
        <w:rPr>
          <w:rFonts w:ascii="Traditional Arabic" w:hAnsi="Traditional Arabic" w:cs="Traditional Arabic" w:hint="cs"/>
          <w:sz w:val="32"/>
          <w:szCs w:val="32"/>
          <w:rtl/>
          <w:lang w:bidi="ar-DZ"/>
        </w:rPr>
        <w:t xml:space="preserve">دولار للبرميل، وفي عام </w:t>
      </w:r>
      <w:r w:rsidR="00205648" w:rsidRPr="00205648">
        <w:rPr>
          <w:rFonts w:ascii="Traditional Arabic" w:hAnsi="Traditional Arabic" w:cs="Traditional Arabic" w:hint="cs"/>
          <w:sz w:val="24"/>
          <w:szCs w:val="24"/>
          <w:rtl/>
          <w:lang w:bidi="ar-DZ"/>
        </w:rPr>
        <w:t xml:space="preserve">2009 </w:t>
      </w:r>
      <w:r w:rsidR="00205648">
        <w:rPr>
          <w:rFonts w:ascii="Traditional Arabic" w:hAnsi="Traditional Arabic" w:cs="Traditional Arabic" w:hint="cs"/>
          <w:sz w:val="32"/>
          <w:szCs w:val="32"/>
          <w:rtl/>
          <w:lang w:bidi="ar-DZ"/>
        </w:rPr>
        <w:t xml:space="preserve">بـ </w:t>
      </w:r>
      <w:r w:rsidR="00205648" w:rsidRPr="00205648">
        <w:rPr>
          <w:rFonts w:ascii="Traditional Arabic" w:hAnsi="Traditional Arabic" w:cs="Traditional Arabic" w:hint="cs"/>
          <w:sz w:val="24"/>
          <w:szCs w:val="24"/>
          <w:rtl/>
          <w:lang w:bidi="ar-DZ"/>
        </w:rPr>
        <w:t xml:space="preserve">61.48 </w:t>
      </w:r>
      <w:r w:rsidR="00205648">
        <w:rPr>
          <w:rFonts w:ascii="Traditional Arabic" w:hAnsi="Traditional Arabic" w:cs="Traditional Arabic" w:hint="cs"/>
          <w:sz w:val="32"/>
          <w:szCs w:val="32"/>
          <w:rtl/>
          <w:lang w:bidi="ar-DZ"/>
        </w:rPr>
        <w:t>دولار للبرميل</w:t>
      </w:r>
      <w:r w:rsidR="00484E37">
        <w:rPr>
          <w:rFonts w:ascii="Traditional Arabic" w:hAnsi="Traditional Arabic" w:cs="Traditional Arabic" w:hint="cs"/>
          <w:sz w:val="32"/>
          <w:szCs w:val="32"/>
          <w:rtl/>
          <w:lang w:bidi="ar-DZ"/>
        </w:rPr>
        <w:t>.</w:t>
      </w:r>
      <w:r w:rsidR="00484E37">
        <w:rPr>
          <w:rFonts w:ascii="Traditional Arabic" w:hAnsi="Traditional Arabic" w:cs="Traditional Arabic"/>
          <w:sz w:val="32"/>
          <w:szCs w:val="32"/>
          <w:lang w:bidi="ar-DZ"/>
        </w:rPr>
        <w:t xml:space="preserve"> </w:t>
      </w:r>
      <w:r w:rsidR="00B35CF7" w:rsidRPr="00A6119D">
        <w:rPr>
          <w:rFonts w:ascii="Traditional Arabic" w:hAnsi="Traditional Arabic" w:cs="Traditional Arabic" w:hint="cs"/>
          <w:sz w:val="32"/>
          <w:szCs w:val="32"/>
          <w:rtl/>
          <w:lang w:bidi="ar-DZ"/>
        </w:rPr>
        <w:t xml:space="preserve">أما الصادرات خارج المحروقات فتمثل نسبة ضئيلة من القيمة الإجمالية للصادرات لا تتجاوز </w:t>
      </w:r>
      <w:r w:rsidR="00B35CF7" w:rsidRPr="00A6119D">
        <w:rPr>
          <w:rFonts w:ascii="Traditional Arabic" w:hAnsi="Traditional Arabic" w:cs="Traditional Arabic" w:hint="cs"/>
          <w:sz w:val="24"/>
          <w:szCs w:val="24"/>
          <w:rtl/>
          <w:lang w:bidi="ar-DZ"/>
        </w:rPr>
        <w:t>3</w:t>
      </w:r>
      <w:r w:rsidR="00B35CF7" w:rsidRPr="00A6119D">
        <w:rPr>
          <w:rFonts w:ascii="Traditional Arabic" w:hAnsi="Traditional Arabic" w:cs="Traditional Arabic"/>
          <w:sz w:val="24"/>
          <w:szCs w:val="24"/>
          <w:rtl/>
          <w:lang w:bidi="ar-DZ"/>
        </w:rPr>
        <w:t>%</w:t>
      </w:r>
      <w:r w:rsidR="00B35CF7" w:rsidRPr="00A6119D">
        <w:rPr>
          <w:rFonts w:ascii="Traditional Arabic" w:hAnsi="Traditional Arabic" w:cs="Traditional Arabic" w:hint="cs"/>
          <w:sz w:val="32"/>
          <w:szCs w:val="32"/>
          <w:rtl/>
          <w:lang w:bidi="ar-DZ"/>
        </w:rPr>
        <w:t xml:space="preserve">. وهذا الوضع غير مريح طالما </w:t>
      </w:r>
      <w:r w:rsidR="00B35CF7" w:rsidRPr="00A6119D">
        <w:rPr>
          <w:rFonts w:ascii="Traditional Arabic" w:hAnsi="Traditional Arabic" w:cs="Traditional Arabic" w:hint="cs"/>
          <w:sz w:val="32"/>
          <w:szCs w:val="32"/>
          <w:rtl/>
          <w:lang w:bidi="ar-DZ"/>
        </w:rPr>
        <w:lastRenderedPageBreak/>
        <w:t>أن أسعار المحروقات تخضع دوما للتغيرات في الأسواق العالمية، وليس من السهل على الد</w:t>
      </w:r>
      <w:r w:rsidR="00484E37">
        <w:rPr>
          <w:rFonts w:ascii="Traditional Arabic" w:hAnsi="Traditional Arabic" w:cs="Traditional Arabic" w:hint="cs"/>
          <w:sz w:val="32"/>
          <w:szCs w:val="32"/>
          <w:rtl/>
          <w:lang w:bidi="ar-DZ"/>
        </w:rPr>
        <w:t>ول المصدرة للبترول التحكم فيها،</w:t>
      </w:r>
      <w:r w:rsidR="00484E37">
        <w:rPr>
          <w:rFonts w:ascii="Traditional Arabic" w:hAnsi="Traditional Arabic" w:cs="Traditional Arabic"/>
          <w:sz w:val="32"/>
          <w:szCs w:val="32"/>
          <w:lang w:bidi="ar-DZ"/>
        </w:rPr>
        <w:t xml:space="preserve"> </w:t>
      </w:r>
      <w:r w:rsidR="00B35CF7" w:rsidRPr="00A6119D">
        <w:rPr>
          <w:rFonts w:ascii="Traditional Arabic" w:hAnsi="Traditional Arabic" w:cs="Traditional Arabic" w:hint="cs"/>
          <w:sz w:val="32"/>
          <w:szCs w:val="32"/>
          <w:rtl/>
          <w:lang w:bidi="ar-DZ"/>
        </w:rPr>
        <w:t xml:space="preserve">حيث أن أي انخفاض لأسعار المحروقات ينتج عنه حتما انخفاض قيمة الصادرات الإجمالية.    </w:t>
      </w:r>
    </w:p>
    <w:p w:rsidR="00B35CF7" w:rsidRPr="00637F81" w:rsidRDefault="00B35CF7" w:rsidP="0067613E">
      <w:pPr>
        <w:tabs>
          <w:tab w:val="right" w:pos="567"/>
          <w:tab w:val="left" w:pos="8505"/>
        </w:tabs>
        <w:bidi/>
        <w:spacing w:after="0"/>
        <w:jc w:val="center"/>
        <w:rPr>
          <w:rFonts w:ascii="Traditional Arabic" w:hAnsi="Traditional Arabic" w:cs="Traditional Arabic"/>
          <w:sz w:val="32"/>
          <w:szCs w:val="32"/>
          <w:rtl/>
          <w:lang w:bidi="ar-DZ"/>
        </w:rPr>
      </w:pPr>
      <w:r w:rsidRPr="00637F81">
        <w:rPr>
          <w:rFonts w:ascii="Traditional Arabic" w:hAnsi="Traditional Arabic" w:cs="Traditional Arabic" w:hint="cs"/>
          <w:sz w:val="32"/>
          <w:szCs w:val="32"/>
          <w:rtl/>
          <w:lang w:bidi="ar-DZ"/>
        </w:rPr>
        <w:t>الجدول رقم</w:t>
      </w:r>
      <w:r w:rsidR="00354078">
        <w:rPr>
          <w:rFonts w:ascii="Traditional Arabic" w:hAnsi="Traditional Arabic" w:cs="Traditional Arabic" w:hint="cs"/>
          <w:sz w:val="32"/>
          <w:szCs w:val="32"/>
          <w:rtl/>
          <w:lang w:bidi="ar-DZ"/>
        </w:rPr>
        <w:t xml:space="preserve"> </w:t>
      </w:r>
      <w:r w:rsidR="00354078">
        <w:rPr>
          <w:rFonts w:ascii="Traditional Arabic" w:hAnsi="Traditional Arabic" w:cs="Traditional Arabic" w:hint="cs"/>
          <w:sz w:val="24"/>
          <w:szCs w:val="24"/>
          <w:rtl/>
          <w:lang w:bidi="ar-DZ"/>
        </w:rPr>
        <w:t>27</w:t>
      </w:r>
      <w:r w:rsidRPr="00637F81">
        <w:rPr>
          <w:rFonts w:ascii="Traditional Arabic" w:hAnsi="Traditional Arabic" w:cs="Traditional Arabic" w:hint="cs"/>
          <w:sz w:val="32"/>
          <w:szCs w:val="32"/>
          <w:rtl/>
          <w:lang w:bidi="ar-DZ"/>
        </w:rPr>
        <w:t xml:space="preserve">: تطور صادرات الجزائر في الفترة </w:t>
      </w:r>
      <w:r w:rsidRPr="00637F81">
        <w:rPr>
          <w:rFonts w:ascii="Traditional Arabic" w:hAnsi="Traditional Arabic" w:cs="Traditional Arabic" w:hint="cs"/>
          <w:sz w:val="24"/>
          <w:szCs w:val="24"/>
          <w:rtl/>
          <w:lang w:bidi="ar-DZ"/>
        </w:rPr>
        <w:t xml:space="preserve">2004-2009 </w:t>
      </w:r>
      <w:r w:rsidRPr="00637F81">
        <w:rPr>
          <w:rFonts w:ascii="Traditional Arabic" w:hAnsi="Traditional Arabic" w:cs="Traditional Arabic" w:hint="cs"/>
          <w:sz w:val="32"/>
          <w:szCs w:val="32"/>
          <w:rtl/>
          <w:lang w:bidi="ar-DZ"/>
        </w:rPr>
        <w:t xml:space="preserve">(مليون دولار، </w:t>
      </w:r>
      <w:r w:rsidRPr="00637F81">
        <w:rPr>
          <w:rFonts w:ascii="Traditional Arabic" w:hAnsi="Traditional Arabic" w:cs="Traditional Arabic" w:hint="cs"/>
          <w:sz w:val="24"/>
          <w:szCs w:val="24"/>
          <w:rtl/>
          <w:lang w:bidi="ar-DZ"/>
        </w:rPr>
        <w:t xml:space="preserve">2009 </w:t>
      </w:r>
      <w:r w:rsidRPr="00637F81">
        <w:rPr>
          <w:rFonts w:ascii="Traditional Arabic" w:hAnsi="Traditional Arabic" w:cs="Traditional Arabic" w:hint="cs"/>
          <w:sz w:val="32"/>
          <w:szCs w:val="32"/>
          <w:rtl/>
          <w:lang w:bidi="ar-DZ"/>
        </w:rPr>
        <w:t xml:space="preserve">تقديرات </w:t>
      </w:r>
      <w:r w:rsidRPr="00637F81">
        <w:rPr>
          <w:rFonts w:ascii="Traditional Arabic" w:hAnsi="Traditional Arabic" w:cs="Traditional Arabic" w:hint="cs"/>
          <w:sz w:val="24"/>
          <w:szCs w:val="24"/>
          <w:rtl/>
          <w:lang w:bidi="ar-DZ"/>
        </w:rPr>
        <w:t>9</w:t>
      </w:r>
      <w:r w:rsidR="00637F81">
        <w:rPr>
          <w:rFonts w:ascii="Traditional Arabic" w:hAnsi="Traditional Arabic" w:cs="Traditional Arabic" w:hint="cs"/>
          <w:sz w:val="32"/>
          <w:szCs w:val="32"/>
          <w:rtl/>
          <w:lang w:bidi="ar-DZ"/>
        </w:rPr>
        <w:t xml:space="preserve"> أشهر الأولى)</w:t>
      </w:r>
    </w:p>
    <w:tbl>
      <w:tblPr>
        <w:tblStyle w:val="Grilledutableau"/>
        <w:bidiVisual/>
        <w:tblW w:w="0" w:type="auto"/>
        <w:tblInd w:w="-34" w:type="dxa"/>
        <w:tblLook w:val="04A0"/>
      </w:tblPr>
      <w:tblGrid>
        <w:gridCol w:w="2429"/>
        <w:gridCol w:w="1115"/>
        <w:gridCol w:w="1115"/>
        <w:gridCol w:w="1115"/>
        <w:gridCol w:w="1115"/>
        <w:gridCol w:w="1115"/>
        <w:gridCol w:w="1115"/>
      </w:tblGrid>
      <w:tr w:rsidR="00B35CF7" w:rsidTr="00EC74F4">
        <w:trPr>
          <w:trHeight w:val="430"/>
        </w:trPr>
        <w:tc>
          <w:tcPr>
            <w:tcW w:w="2429" w:type="dxa"/>
          </w:tcPr>
          <w:p w:rsidR="00B35CF7" w:rsidRDefault="00B35CF7" w:rsidP="00EC74F4">
            <w:pPr>
              <w:tabs>
                <w:tab w:val="right" w:pos="567"/>
                <w:tab w:val="left" w:pos="8505"/>
              </w:tabs>
              <w:bidi/>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السنوات</w:t>
            </w:r>
          </w:p>
        </w:tc>
        <w:tc>
          <w:tcPr>
            <w:tcW w:w="1115"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2004</w:t>
            </w:r>
          </w:p>
        </w:tc>
        <w:tc>
          <w:tcPr>
            <w:tcW w:w="1115"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2005</w:t>
            </w:r>
          </w:p>
        </w:tc>
        <w:tc>
          <w:tcPr>
            <w:tcW w:w="1115" w:type="dxa"/>
          </w:tcPr>
          <w:p w:rsidR="00B35CF7" w:rsidRPr="0049351A" w:rsidRDefault="00B35CF7" w:rsidP="00EC74F4">
            <w:pPr>
              <w:tabs>
                <w:tab w:val="center" w:pos="454"/>
                <w:tab w:val="right" w:pos="567"/>
                <w:tab w:val="left" w:pos="8505"/>
              </w:tabs>
              <w:bidi/>
              <w:rPr>
                <w:rFonts w:ascii="Traditional Arabic" w:hAnsi="Traditional Arabic" w:cs="Traditional Arabic"/>
                <w:sz w:val="24"/>
                <w:szCs w:val="24"/>
                <w:rtl/>
                <w:lang w:bidi="ar-DZ"/>
              </w:rPr>
            </w:pPr>
            <w:r>
              <w:rPr>
                <w:rFonts w:ascii="Traditional Arabic" w:hAnsi="Traditional Arabic" w:cs="Traditional Arabic"/>
                <w:sz w:val="24"/>
                <w:szCs w:val="24"/>
                <w:lang w:bidi="ar-DZ"/>
              </w:rPr>
              <w:tab/>
            </w:r>
            <w:r w:rsidRPr="0049351A">
              <w:rPr>
                <w:rFonts w:ascii="Traditional Arabic" w:hAnsi="Traditional Arabic" w:cs="Traditional Arabic"/>
                <w:sz w:val="24"/>
                <w:szCs w:val="24"/>
                <w:lang w:bidi="ar-DZ"/>
              </w:rPr>
              <w:t>2006</w:t>
            </w:r>
          </w:p>
        </w:tc>
        <w:tc>
          <w:tcPr>
            <w:tcW w:w="1115"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2007</w:t>
            </w:r>
          </w:p>
        </w:tc>
        <w:tc>
          <w:tcPr>
            <w:tcW w:w="1115"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2008</w:t>
            </w:r>
          </w:p>
        </w:tc>
        <w:tc>
          <w:tcPr>
            <w:tcW w:w="1115" w:type="dxa"/>
          </w:tcPr>
          <w:p w:rsidR="00B35CF7" w:rsidRPr="0049351A" w:rsidRDefault="00B35CF7" w:rsidP="00EC74F4">
            <w:pPr>
              <w:tabs>
                <w:tab w:val="right" w:pos="567"/>
                <w:tab w:val="left" w:pos="8505"/>
              </w:tabs>
              <w:bidi/>
              <w:jc w:val="center"/>
              <w:rPr>
                <w:rFonts w:ascii="Traditional Arabic" w:hAnsi="Traditional Arabic" w:cs="Traditional Arabic"/>
                <w:sz w:val="24"/>
                <w:szCs w:val="24"/>
                <w:rtl/>
                <w:lang w:bidi="ar-DZ"/>
              </w:rPr>
            </w:pPr>
            <w:r w:rsidRPr="0049351A">
              <w:rPr>
                <w:rFonts w:ascii="Traditional Arabic" w:hAnsi="Traditional Arabic" w:cs="Traditional Arabic"/>
                <w:sz w:val="24"/>
                <w:szCs w:val="24"/>
                <w:lang w:bidi="ar-DZ"/>
              </w:rPr>
              <w:t>2009</w:t>
            </w:r>
          </w:p>
        </w:tc>
      </w:tr>
      <w:tr w:rsidR="00B35CF7" w:rsidTr="009B7937">
        <w:trPr>
          <w:trHeight w:val="419"/>
        </w:trPr>
        <w:tc>
          <w:tcPr>
            <w:tcW w:w="2429" w:type="dxa"/>
          </w:tcPr>
          <w:p w:rsidR="00B35CF7" w:rsidRDefault="00B35CF7" w:rsidP="00EC74F4">
            <w:pPr>
              <w:tabs>
                <w:tab w:val="right" w:pos="567"/>
                <w:tab w:val="left" w:pos="8505"/>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إجمالي الصادرات</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32148.49</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46001.74</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54613.44</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60163.32</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79298.39</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31903</w:t>
            </w:r>
          </w:p>
        </w:tc>
      </w:tr>
      <w:tr w:rsidR="00B35CF7" w:rsidTr="009B7937">
        <w:trPr>
          <w:trHeight w:val="419"/>
        </w:trPr>
        <w:tc>
          <w:tcPr>
            <w:tcW w:w="2429" w:type="dxa"/>
          </w:tcPr>
          <w:p w:rsidR="00B35CF7" w:rsidRDefault="00B35CF7" w:rsidP="00EC74F4">
            <w:pPr>
              <w:tabs>
                <w:tab w:val="right" w:pos="567"/>
                <w:tab w:val="left" w:pos="8505"/>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صادرات المحروقات</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31389.74</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45004.49</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53455.81</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58831.31</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77361.43</w:t>
            </w:r>
          </w:p>
        </w:tc>
        <w:tc>
          <w:tcPr>
            <w:tcW w:w="1115" w:type="dxa"/>
            <w:vAlign w:val="center"/>
          </w:tcPr>
          <w:p w:rsidR="00B35CF7" w:rsidRPr="003E4C60" w:rsidRDefault="00B35CF7" w:rsidP="009B7937">
            <w:pPr>
              <w:tabs>
                <w:tab w:val="right" w:pos="567"/>
                <w:tab w:val="left" w:pos="8505"/>
              </w:tabs>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31120</w:t>
            </w:r>
          </w:p>
        </w:tc>
      </w:tr>
      <w:tr w:rsidR="00B35CF7" w:rsidTr="009B7937">
        <w:trPr>
          <w:trHeight w:val="419"/>
        </w:trPr>
        <w:tc>
          <w:tcPr>
            <w:tcW w:w="2429" w:type="dxa"/>
          </w:tcPr>
          <w:p w:rsidR="00B35CF7" w:rsidRDefault="00B35CF7" w:rsidP="00EC74F4">
            <w:pPr>
              <w:tabs>
                <w:tab w:val="right" w:pos="567"/>
                <w:tab w:val="left" w:pos="8505"/>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صادرات المحروقات </w:t>
            </w:r>
            <w:r w:rsidRPr="001D2227">
              <w:rPr>
                <w:rFonts w:ascii="Traditional Arabic" w:hAnsi="Traditional Arabic" w:cs="Traditional Arabic"/>
                <w:sz w:val="24"/>
                <w:szCs w:val="24"/>
                <w:rtl/>
                <w:lang w:bidi="ar-DZ"/>
              </w:rPr>
              <w:t>%</w:t>
            </w:r>
          </w:p>
        </w:tc>
        <w:tc>
          <w:tcPr>
            <w:tcW w:w="1115" w:type="dxa"/>
            <w:vAlign w:val="center"/>
          </w:tcPr>
          <w:p w:rsidR="00B35CF7" w:rsidRPr="001D2227" w:rsidRDefault="00B35CF7" w:rsidP="009B7937">
            <w:pPr>
              <w:tabs>
                <w:tab w:val="right" w:pos="567"/>
                <w:tab w:val="left" w:pos="8505"/>
              </w:tabs>
              <w:bidi/>
              <w:jc w:val="center"/>
              <w:rPr>
                <w:rFonts w:ascii="Traditional Arabic" w:hAnsi="Traditional Arabic" w:cs="Traditional Arabic"/>
                <w:sz w:val="24"/>
                <w:szCs w:val="24"/>
                <w:rtl/>
                <w:lang w:bidi="ar-DZ"/>
              </w:rPr>
            </w:pPr>
            <w:r w:rsidRPr="001D2227">
              <w:rPr>
                <w:rFonts w:ascii="Traditional Arabic" w:hAnsi="Traditional Arabic" w:cs="Traditional Arabic" w:hint="cs"/>
                <w:sz w:val="24"/>
                <w:szCs w:val="24"/>
                <w:rtl/>
                <w:lang w:bidi="ar-DZ"/>
              </w:rPr>
              <w:t>97.64</w:t>
            </w:r>
          </w:p>
        </w:tc>
        <w:tc>
          <w:tcPr>
            <w:tcW w:w="1115" w:type="dxa"/>
            <w:vAlign w:val="center"/>
          </w:tcPr>
          <w:p w:rsidR="00B35CF7" w:rsidRPr="001D2227" w:rsidRDefault="00B35CF7" w:rsidP="009B7937">
            <w:pPr>
              <w:tabs>
                <w:tab w:val="right" w:pos="567"/>
                <w:tab w:val="left" w:pos="8505"/>
              </w:tabs>
              <w:bidi/>
              <w:jc w:val="center"/>
              <w:rPr>
                <w:rFonts w:ascii="Traditional Arabic" w:hAnsi="Traditional Arabic" w:cs="Traditional Arabic"/>
                <w:sz w:val="24"/>
                <w:szCs w:val="24"/>
                <w:rtl/>
                <w:lang w:bidi="ar-DZ"/>
              </w:rPr>
            </w:pPr>
            <w:r w:rsidRPr="001D2227">
              <w:rPr>
                <w:rFonts w:ascii="Traditional Arabic" w:hAnsi="Traditional Arabic" w:cs="Traditional Arabic" w:hint="cs"/>
                <w:sz w:val="24"/>
                <w:szCs w:val="24"/>
                <w:rtl/>
                <w:lang w:bidi="ar-DZ"/>
              </w:rPr>
              <w:t>97.83</w:t>
            </w:r>
          </w:p>
        </w:tc>
        <w:tc>
          <w:tcPr>
            <w:tcW w:w="1115" w:type="dxa"/>
            <w:vAlign w:val="center"/>
          </w:tcPr>
          <w:p w:rsidR="00B35CF7" w:rsidRPr="001D2227" w:rsidRDefault="00B35CF7" w:rsidP="009B7937">
            <w:pPr>
              <w:tabs>
                <w:tab w:val="right" w:pos="567"/>
                <w:tab w:val="left" w:pos="8505"/>
              </w:tabs>
              <w:bidi/>
              <w:jc w:val="center"/>
              <w:rPr>
                <w:rFonts w:ascii="Traditional Arabic" w:hAnsi="Traditional Arabic" w:cs="Traditional Arabic"/>
                <w:sz w:val="24"/>
                <w:szCs w:val="24"/>
                <w:rtl/>
                <w:lang w:bidi="ar-DZ"/>
              </w:rPr>
            </w:pPr>
            <w:r w:rsidRPr="001D2227">
              <w:rPr>
                <w:rFonts w:ascii="Traditional Arabic" w:hAnsi="Traditional Arabic" w:cs="Traditional Arabic" w:hint="cs"/>
                <w:sz w:val="24"/>
                <w:szCs w:val="24"/>
                <w:rtl/>
                <w:lang w:bidi="ar-DZ"/>
              </w:rPr>
              <w:t>97.88</w:t>
            </w:r>
          </w:p>
        </w:tc>
        <w:tc>
          <w:tcPr>
            <w:tcW w:w="1115" w:type="dxa"/>
            <w:vAlign w:val="center"/>
          </w:tcPr>
          <w:p w:rsidR="00B35CF7" w:rsidRPr="001D2227" w:rsidRDefault="00B35CF7" w:rsidP="009B7937">
            <w:pPr>
              <w:tabs>
                <w:tab w:val="right" w:pos="567"/>
                <w:tab w:val="left" w:pos="8505"/>
              </w:tabs>
              <w:bidi/>
              <w:jc w:val="center"/>
              <w:rPr>
                <w:rFonts w:ascii="Traditional Arabic" w:hAnsi="Traditional Arabic" w:cs="Traditional Arabic"/>
                <w:sz w:val="24"/>
                <w:szCs w:val="24"/>
                <w:rtl/>
                <w:lang w:bidi="ar-DZ"/>
              </w:rPr>
            </w:pPr>
            <w:r w:rsidRPr="001D2227">
              <w:rPr>
                <w:rFonts w:ascii="Traditional Arabic" w:hAnsi="Traditional Arabic" w:cs="Traditional Arabic" w:hint="cs"/>
                <w:sz w:val="24"/>
                <w:szCs w:val="24"/>
                <w:rtl/>
                <w:lang w:bidi="ar-DZ"/>
              </w:rPr>
              <w:t>97.79</w:t>
            </w:r>
          </w:p>
        </w:tc>
        <w:tc>
          <w:tcPr>
            <w:tcW w:w="1115" w:type="dxa"/>
            <w:vAlign w:val="center"/>
          </w:tcPr>
          <w:p w:rsidR="00B35CF7" w:rsidRPr="001D2227" w:rsidRDefault="00B35CF7" w:rsidP="009B7937">
            <w:pPr>
              <w:tabs>
                <w:tab w:val="right" w:pos="567"/>
                <w:tab w:val="left" w:pos="8505"/>
              </w:tabs>
              <w:bidi/>
              <w:jc w:val="center"/>
              <w:rPr>
                <w:rFonts w:ascii="Traditional Arabic" w:hAnsi="Traditional Arabic" w:cs="Traditional Arabic"/>
                <w:sz w:val="24"/>
                <w:szCs w:val="24"/>
                <w:rtl/>
                <w:lang w:bidi="ar-DZ"/>
              </w:rPr>
            </w:pPr>
            <w:r w:rsidRPr="001D2227">
              <w:rPr>
                <w:rFonts w:ascii="Traditional Arabic" w:hAnsi="Traditional Arabic" w:cs="Traditional Arabic" w:hint="cs"/>
                <w:sz w:val="24"/>
                <w:szCs w:val="24"/>
                <w:rtl/>
                <w:lang w:bidi="ar-DZ"/>
              </w:rPr>
              <w:t>97.56</w:t>
            </w:r>
          </w:p>
        </w:tc>
        <w:tc>
          <w:tcPr>
            <w:tcW w:w="1115" w:type="dxa"/>
            <w:vAlign w:val="center"/>
          </w:tcPr>
          <w:p w:rsidR="00B35CF7" w:rsidRPr="001D2227" w:rsidRDefault="00B35CF7" w:rsidP="009B7937">
            <w:pPr>
              <w:tabs>
                <w:tab w:val="right" w:pos="567"/>
                <w:tab w:val="left" w:pos="8505"/>
              </w:tabs>
              <w:bidi/>
              <w:jc w:val="center"/>
              <w:rPr>
                <w:rFonts w:ascii="Traditional Arabic" w:hAnsi="Traditional Arabic" w:cs="Traditional Arabic"/>
                <w:sz w:val="24"/>
                <w:szCs w:val="24"/>
                <w:rtl/>
                <w:lang w:bidi="ar-DZ"/>
              </w:rPr>
            </w:pPr>
            <w:r w:rsidRPr="001D2227">
              <w:rPr>
                <w:rFonts w:ascii="Traditional Arabic" w:hAnsi="Traditional Arabic" w:cs="Traditional Arabic" w:hint="cs"/>
                <w:sz w:val="24"/>
                <w:szCs w:val="24"/>
                <w:rtl/>
                <w:lang w:bidi="ar-DZ"/>
              </w:rPr>
              <w:t>97.5</w:t>
            </w:r>
            <w:r>
              <w:rPr>
                <w:rFonts w:ascii="Traditional Arabic" w:hAnsi="Traditional Arabic" w:cs="Traditional Arabic" w:hint="cs"/>
                <w:sz w:val="24"/>
                <w:szCs w:val="24"/>
                <w:rtl/>
                <w:lang w:bidi="ar-DZ"/>
              </w:rPr>
              <w:t>5</w:t>
            </w:r>
          </w:p>
        </w:tc>
      </w:tr>
      <w:tr w:rsidR="00B35CF7" w:rsidTr="009B7937">
        <w:trPr>
          <w:trHeight w:val="419"/>
        </w:trPr>
        <w:tc>
          <w:tcPr>
            <w:tcW w:w="2429" w:type="dxa"/>
          </w:tcPr>
          <w:p w:rsidR="00B35CF7" w:rsidRDefault="00B35CF7" w:rsidP="00EC74F4">
            <w:pPr>
              <w:tabs>
                <w:tab w:val="right" w:pos="567"/>
                <w:tab w:val="left" w:pos="8505"/>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باقي الصادرات</w:t>
            </w:r>
          </w:p>
        </w:tc>
        <w:tc>
          <w:tcPr>
            <w:tcW w:w="1115" w:type="dxa"/>
            <w:vAlign w:val="center"/>
          </w:tcPr>
          <w:p w:rsidR="00B35CF7" w:rsidRPr="00727A10" w:rsidRDefault="00B35CF7" w:rsidP="009B7937">
            <w:pPr>
              <w:tabs>
                <w:tab w:val="right" w:pos="567"/>
                <w:tab w:val="left" w:pos="8505"/>
              </w:tabs>
              <w:bidi/>
              <w:jc w:val="center"/>
              <w:rPr>
                <w:rFonts w:ascii="Traditional Arabic" w:hAnsi="Traditional Arabic" w:cs="Traditional Arabic"/>
                <w:sz w:val="24"/>
                <w:szCs w:val="24"/>
                <w:rtl/>
                <w:lang w:bidi="ar-DZ"/>
              </w:rPr>
            </w:pPr>
            <w:r w:rsidRPr="00727A10">
              <w:rPr>
                <w:rFonts w:ascii="Traditional Arabic" w:hAnsi="Traditional Arabic" w:cs="Traditional Arabic" w:hint="cs"/>
                <w:sz w:val="24"/>
                <w:szCs w:val="24"/>
                <w:rtl/>
                <w:lang w:bidi="ar-DZ"/>
              </w:rPr>
              <w:t>758.75</w:t>
            </w:r>
          </w:p>
        </w:tc>
        <w:tc>
          <w:tcPr>
            <w:tcW w:w="1115" w:type="dxa"/>
            <w:vAlign w:val="center"/>
          </w:tcPr>
          <w:p w:rsidR="00B35CF7" w:rsidRPr="00727A10" w:rsidRDefault="00B35CF7" w:rsidP="009B7937">
            <w:pPr>
              <w:tabs>
                <w:tab w:val="right" w:pos="567"/>
                <w:tab w:val="left" w:pos="8505"/>
              </w:tabs>
              <w:bidi/>
              <w:jc w:val="center"/>
              <w:rPr>
                <w:rFonts w:ascii="Traditional Arabic" w:hAnsi="Traditional Arabic" w:cs="Traditional Arabic"/>
                <w:sz w:val="24"/>
                <w:szCs w:val="24"/>
                <w:rtl/>
                <w:lang w:bidi="ar-DZ"/>
              </w:rPr>
            </w:pPr>
            <w:r w:rsidRPr="00727A10">
              <w:rPr>
                <w:rFonts w:ascii="Traditional Arabic" w:hAnsi="Traditional Arabic" w:cs="Traditional Arabic" w:hint="cs"/>
                <w:sz w:val="24"/>
                <w:szCs w:val="24"/>
                <w:rtl/>
                <w:lang w:bidi="ar-DZ"/>
              </w:rPr>
              <w:t>997.25</w:t>
            </w:r>
          </w:p>
        </w:tc>
        <w:tc>
          <w:tcPr>
            <w:tcW w:w="1115" w:type="dxa"/>
            <w:vAlign w:val="center"/>
          </w:tcPr>
          <w:p w:rsidR="00B35CF7" w:rsidRPr="00727A10" w:rsidRDefault="00B35CF7" w:rsidP="009B7937">
            <w:pPr>
              <w:tabs>
                <w:tab w:val="right" w:pos="567"/>
                <w:tab w:val="left" w:pos="8505"/>
              </w:tabs>
              <w:bidi/>
              <w:jc w:val="center"/>
              <w:rPr>
                <w:rFonts w:ascii="Traditional Arabic" w:hAnsi="Traditional Arabic" w:cs="Traditional Arabic"/>
                <w:sz w:val="24"/>
                <w:szCs w:val="24"/>
                <w:rtl/>
                <w:lang w:bidi="ar-DZ"/>
              </w:rPr>
            </w:pPr>
            <w:r w:rsidRPr="00727A10">
              <w:rPr>
                <w:rFonts w:ascii="Traditional Arabic" w:hAnsi="Traditional Arabic" w:cs="Traditional Arabic" w:hint="cs"/>
                <w:sz w:val="24"/>
                <w:szCs w:val="24"/>
                <w:rtl/>
                <w:lang w:bidi="ar-DZ"/>
              </w:rPr>
              <w:t>1157.63</w:t>
            </w:r>
          </w:p>
        </w:tc>
        <w:tc>
          <w:tcPr>
            <w:tcW w:w="1115" w:type="dxa"/>
            <w:vAlign w:val="center"/>
          </w:tcPr>
          <w:p w:rsidR="00B35CF7" w:rsidRPr="00727A10" w:rsidRDefault="00B35CF7" w:rsidP="009B7937">
            <w:pPr>
              <w:tabs>
                <w:tab w:val="right" w:pos="567"/>
                <w:tab w:val="left" w:pos="8505"/>
              </w:tabs>
              <w:bidi/>
              <w:jc w:val="center"/>
              <w:rPr>
                <w:rFonts w:ascii="Traditional Arabic" w:hAnsi="Traditional Arabic" w:cs="Traditional Arabic"/>
                <w:sz w:val="24"/>
                <w:szCs w:val="24"/>
                <w:rtl/>
                <w:lang w:bidi="ar-DZ"/>
              </w:rPr>
            </w:pPr>
            <w:r w:rsidRPr="00727A10">
              <w:rPr>
                <w:rFonts w:ascii="Traditional Arabic" w:hAnsi="Traditional Arabic" w:cs="Traditional Arabic" w:hint="cs"/>
                <w:sz w:val="24"/>
                <w:szCs w:val="24"/>
                <w:rtl/>
                <w:lang w:bidi="ar-DZ"/>
              </w:rPr>
              <w:t>1332.01</w:t>
            </w:r>
          </w:p>
        </w:tc>
        <w:tc>
          <w:tcPr>
            <w:tcW w:w="1115" w:type="dxa"/>
            <w:vAlign w:val="center"/>
          </w:tcPr>
          <w:p w:rsidR="00B35CF7" w:rsidRPr="00727A10" w:rsidRDefault="00B35CF7" w:rsidP="009B7937">
            <w:pPr>
              <w:tabs>
                <w:tab w:val="right" w:pos="567"/>
                <w:tab w:val="left" w:pos="8505"/>
              </w:tabs>
              <w:bidi/>
              <w:jc w:val="center"/>
              <w:rPr>
                <w:rFonts w:ascii="Traditional Arabic" w:hAnsi="Traditional Arabic" w:cs="Traditional Arabic"/>
                <w:sz w:val="24"/>
                <w:szCs w:val="24"/>
                <w:rtl/>
                <w:lang w:bidi="ar-DZ"/>
              </w:rPr>
            </w:pPr>
            <w:r w:rsidRPr="00727A10">
              <w:rPr>
                <w:rFonts w:ascii="Traditional Arabic" w:hAnsi="Traditional Arabic" w:cs="Traditional Arabic" w:hint="cs"/>
                <w:sz w:val="24"/>
                <w:szCs w:val="24"/>
                <w:rtl/>
                <w:lang w:bidi="ar-DZ"/>
              </w:rPr>
              <w:t>1936.96</w:t>
            </w:r>
          </w:p>
        </w:tc>
        <w:tc>
          <w:tcPr>
            <w:tcW w:w="1115" w:type="dxa"/>
            <w:vAlign w:val="center"/>
          </w:tcPr>
          <w:p w:rsidR="00B35CF7" w:rsidRPr="00727A10" w:rsidRDefault="00B35CF7" w:rsidP="009B7937">
            <w:pPr>
              <w:tabs>
                <w:tab w:val="right" w:pos="567"/>
                <w:tab w:val="left" w:pos="8505"/>
              </w:tabs>
              <w:bidi/>
              <w:jc w:val="center"/>
              <w:rPr>
                <w:rFonts w:ascii="Traditional Arabic" w:hAnsi="Traditional Arabic" w:cs="Traditional Arabic"/>
                <w:sz w:val="24"/>
                <w:szCs w:val="24"/>
                <w:rtl/>
                <w:lang w:bidi="ar-DZ"/>
              </w:rPr>
            </w:pPr>
            <w:r w:rsidRPr="00727A10">
              <w:rPr>
                <w:rFonts w:ascii="Traditional Arabic" w:hAnsi="Traditional Arabic" w:cs="Traditional Arabic" w:hint="cs"/>
                <w:sz w:val="24"/>
                <w:szCs w:val="24"/>
                <w:rtl/>
                <w:lang w:bidi="ar-DZ"/>
              </w:rPr>
              <w:t>783</w:t>
            </w:r>
          </w:p>
        </w:tc>
      </w:tr>
      <w:tr w:rsidR="00B35CF7" w:rsidTr="009B7937">
        <w:trPr>
          <w:trHeight w:val="419"/>
        </w:trPr>
        <w:tc>
          <w:tcPr>
            <w:tcW w:w="2429" w:type="dxa"/>
          </w:tcPr>
          <w:p w:rsidR="00B35CF7" w:rsidRDefault="00B35CF7" w:rsidP="00EC74F4">
            <w:pPr>
              <w:tabs>
                <w:tab w:val="right" w:pos="567"/>
                <w:tab w:val="left" w:pos="8505"/>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باقي الصادرات </w:t>
            </w:r>
            <w:r w:rsidRPr="001D2227">
              <w:rPr>
                <w:rFonts w:ascii="Traditional Arabic" w:hAnsi="Traditional Arabic" w:cs="Traditional Arabic"/>
                <w:sz w:val="24"/>
                <w:szCs w:val="24"/>
                <w:rtl/>
                <w:lang w:bidi="ar-DZ"/>
              </w:rPr>
              <w:t>%</w:t>
            </w:r>
          </w:p>
        </w:tc>
        <w:tc>
          <w:tcPr>
            <w:tcW w:w="1115" w:type="dxa"/>
            <w:vAlign w:val="center"/>
          </w:tcPr>
          <w:p w:rsidR="00B35CF7" w:rsidRPr="00425E3D" w:rsidRDefault="00B35CF7" w:rsidP="009B7937">
            <w:pPr>
              <w:tabs>
                <w:tab w:val="right" w:pos="567"/>
                <w:tab w:val="left" w:pos="8505"/>
              </w:tabs>
              <w:bidi/>
              <w:jc w:val="center"/>
              <w:rPr>
                <w:rFonts w:ascii="Traditional Arabic" w:hAnsi="Traditional Arabic" w:cs="Traditional Arabic"/>
                <w:sz w:val="24"/>
                <w:szCs w:val="24"/>
                <w:rtl/>
                <w:lang w:bidi="ar-DZ"/>
              </w:rPr>
            </w:pPr>
            <w:r w:rsidRPr="00425E3D">
              <w:rPr>
                <w:rFonts w:ascii="Traditional Arabic" w:hAnsi="Traditional Arabic" w:cs="Traditional Arabic" w:hint="cs"/>
                <w:sz w:val="24"/>
                <w:szCs w:val="24"/>
                <w:rtl/>
                <w:lang w:bidi="ar-DZ"/>
              </w:rPr>
              <w:t>2.36</w:t>
            </w:r>
          </w:p>
        </w:tc>
        <w:tc>
          <w:tcPr>
            <w:tcW w:w="1115" w:type="dxa"/>
            <w:vAlign w:val="center"/>
          </w:tcPr>
          <w:p w:rsidR="00B35CF7" w:rsidRPr="00425E3D" w:rsidRDefault="00B35CF7" w:rsidP="009B7937">
            <w:pPr>
              <w:tabs>
                <w:tab w:val="right" w:pos="567"/>
                <w:tab w:val="left" w:pos="8505"/>
              </w:tabs>
              <w:bidi/>
              <w:jc w:val="center"/>
              <w:rPr>
                <w:rFonts w:ascii="Traditional Arabic" w:hAnsi="Traditional Arabic" w:cs="Traditional Arabic"/>
                <w:sz w:val="24"/>
                <w:szCs w:val="24"/>
                <w:rtl/>
                <w:lang w:bidi="ar-DZ"/>
              </w:rPr>
            </w:pPr>
            <w:r w:rsidRPr="00425E3D">
              <w:rPr>
                <w:rFonts w:ascii="Traditional Arabic" w:hAnsi="Traditional Arabic" w:cs="Traditional Arabic" w:hint="cs"/>
                <w:sz w:val="24"/>
                <w:szCs w:val="24"/>
                <w:rtl/>
                <w:lang w:bidi="ar-DZ"/>
              </w:rPr>
              <w:t>2.17</w:t>
            </w:r>
          </w:p>
        </w:tc>
        <w:tc>
          <w:tcPr>
            <w:tcW w:w="1115" w:type="dxa"/>
            <w:vAlign w:val="center"/>
          </w:tcPr>
          <w:p w:rsidR="00B35CF7" w:rsidRPr="00425E3D" w:rsidRDefault="00B35CF7" w:rsidP="009B7937">
            <w:pPr>
              <w:tabs>
                <w:tab w:val="right" w:pos="567"/>
                <w:tab w:val="left" w:pos="8505"/>
              </w:tabs>
              <w:bidi/>
              <w:jc w:val="center"/>
              <w:rPr>
                <w:rFonts w:ascii="Traditional Arabic" w:hAnsi="Traditional Arabic" w:cs="Traditional Arabic"/>
                <w:sz w:val="24"/>
                <w:szCs w:val="24"/>
                <w:rtl/>
                <w:lang w:bidi="ar-DZ"/>
              </w:rPr>
            </w:pPr>
            <w:r w:rsidRPr="00425E3D">
              <w:rPr>
                <w:rFonts w:ascii="Traditional Arabic" w:hAnsi="Traditional Arabic" w:cs="Traditional Arabic" w:hint="cs"/>
                <w:sz w:val="24"/>
                <w:szCs w:val="24"/>
                <w:rtl/>
                <w:lang w:bidi="ar-DZ"/>
              </w:rPr>
              <w:t>2.12</w:t>
            </w:r>
          </w:p>
        </w:tc>
        <w:tc>
          <w:tcPr>
            <w:tcW w:w="1115" w:type="dxa"/>
            <w:vAlign w:val="center"/>
          </w:tcPr>
          <w:p w:rsidR="00B35CF7" w:rsidRPr="00425E3D" w:rsidRDefault="00B35CF7" w:rsidP="009B7937">
            <w:pPr>
              <w:tabs>
                <w:tab w:val="right" w:pos="567"/>
                <w:tab w:val="left" w:pos="8505"/>
              </w:tabs>
              <w:bidi/>
              <w:jc w:val="center"/>
              <w:rPr>
                <w:rFonts w:ascii="Traditional Arabic" w:hAnsi="Traditional Arabic" w:cs="Traditional Arabic"/>
                <w:sz w:val="24"/>
                <w:szCs w:val="24"/>
                <w:rtl/>
                <w:lang w:bidi="ar-DZ"/>
              </w:rPr>
            </w:pPr>
            <w:r w:rsidRPr="00425E3D">
              <w:rPr>
                <w:rFonts w:ascii="Traditional Arabic" w:hAnsi="Traditional Arabic" w:cs="Traditional Arabic" w:hint="cs"/>
                <w:sz w:val="24"/>
                <w:szCs w:val="24"/>
                <w:rtl/>
                <w:lang w:bidi="ar-DZ"/>
              </w:rPr>
              <w:t>2.21</w:t>
            </w:r>
          </w:p>
        </w:tc>
        <w:tc>
          <w:tcPr>
            <w:tcW w:w="1115" w:type="dxa"/>
            <w:vAlign w:val="center"/>
          </w:tcPr>
          <w:p w:rsidR="00B35CF7" w:rsidRPr="00425E3D" w:rsidRDefault="00B35CF7" w:rsidP="009B7937">
            <w:pPr>
              <w:tabs>
                <w:tab w:val="right" w:pos="567"/>
                <w:tab w:val="left" w:pos="8505"/>
              </w:tabs>
              <w:bidi/>
              <w:jc w:val="center"/>
              <w:rPr>
                <w:rFonts w:ascii="Traditional Arabic" w:hAnsi="Traditional Arabic" w:cs="Traditional Arabic"/>
                <w:sz w:val="24"/>
                <w:szCs w:val="24"/>
                <w:rtl/>
                <w:lang w:bidi="ar-DZ"/>
              </w:rPr>
            </w:pPr>
            <w:r w:rsidRPr="00425E3D">
              <w:rPr>
                <w:rFonts w:ascii="Traditional Arabic" w:hAnsi="Traditional Arabic" w:cs="Traditional Arabic" w:hint="cs"/>
                <w:sz w:val="24"/>
                <w:szCs w:val="24"/>
                <w:rtl/>
                <w:lang w:bidi="ar-DZ"/>
              </w:rPr>
              <w:t>2.44</w:t>
            </w:r>
          </w:p>
        </w:tc>
        <w:tc>
          <w:tcPr>
            <w:tcW w:w="1115" w:type="dxa"/>
            <w:vAlign w:val="center"/>
          </w:tcPr>
          <w:p w:rsidR="00B35CF7" w:rsidRPr="00425E3D" w:rsidRDefault="00B35CF7" w:rsidP="009B7937">
            <w:pPr>
              <w:tabs>
                <w:tab w:val="right" w:pos="567"/>
                <w:tab w:val="left" w:pos="8505"/>
              </w:tabs>
              <w:bidi/>
              <w:jc w:val="center"/>
              <w:rPr>
                <w:rFonts w:ascii="Traditional Arabic" w:hAnsi="Traditional Arabic" w:cs="Traditional Arabic"/>
                <w:sz w:val="24"/>
                <w:szCs w:val="24"/>
                <w:rtl/>
                <w:lang w:bidi="ar-DZ"/>
              </w:rPr>
            </w:pPr>
            <w:r w:rsidRPr="00425E3D">
              <w:rPr>
                <w:rFonts w:ascii="Traditional Arabic" w:hAnsi="Traditional Arabic" w:cs="Traditional Arabic" w:hint="cs"/>
                <w:sz w:val="24"/>
                <w:szCs w:val="24"/>
                <w:rtl/>
                <w:lang w:bidi="ar-DZ"/>
              </w:rPr>
              <w:t>2.45</w:t>
            </w:r>
          </w:p>
        </w:tc>
      </w:tr>
    </w:tbl>
    <w:p w:rsidR="00B35CF7" w:rsidRPr="00865358" w:rsidRDefault="008422DD" w:rsidP="0033142B">
      <w:pPr>
        <w:tabs>
          <w:tab w:val="right" w:pos="567"/>
          <w:tab w:val="left" w:pos="8505"/>
        </w:tabs>
        <w:jc w:val="center"/>
        <w:rPr>
          <w:rFonts w:asciiTheme="majorBidi" w:hAnsiTheme="majorBidi" w:cstheme="majorBidi"/>
          <w:sz w:val="20"/>
          <w:szCs w:val="20"/>
          <w:lang w:bidi="ar-DZ"/>
        </w:rPr>
      </w:pPr>
      <w:r>
        <w:rPr>
          <w:rFonts w:asciiTheme="majorBidi" w:hAnsiTheme="majorBidi" w:cstheme="majorBidi"/>
          <w:sz w:val="20"/>
          <w:szCs w:val="20"/>
          <w:lang w:bidi="ar-DZ"/>
        </w:rPr>
        <w:t xml:space="preserve">  </w:t>
      </w:r>
      <w:r w:rsidR="0033142B">
        <w:rPr>
          <w:rFonts w:asciiTheme="majorBidi" w:hAnsiTheme="majorBidi" w:cstheme="majorBidi"/>
          <w:sz w:val="20"/>
          <w:szCs w:val="20"/>
          <w:lang w:bidi="ar-DZ"/>
        </w:rPr>
        <w:t>Source</w:t>
      </w:r>
      <w:r w:rsidR="0033142B" w:rsidRPr="008F7215">
        <w:rPr>
          <w:rFonts w:asciiTheme="majorBidi" w:hAnsiTheme="majorBidi" w:cstheme="majorBidi"/>
          <w:sz w:val="20"/>
          <w:szCs w:val="20"/>
          <w:lang w:bidi="ar-DZ"/>
        </w:rPr>
        <w:t xml:space="preserve">: Ministère du </w:t>
      </w:r>
      <w:r w:rsidR="0033142B">
        <w:rPr>
          <w:rFonts w:asciiTheme="majorBidi" w:hAnsiTheme="majorBidi" w:cstheme="majorBidi"/>
          <w:sz w:val="20"/>
          <w:szCs w:val="20"/>
          <w:lang w:bidi="ar-DZ"/>
        </w:rPr>
        <w:t>C</w:t>
      </w:r>
      <w:r w:rsidR="0033142B" w:rsidRPr="008F7215">
        <w:rPr>
          <w:rFonts w:asciiTheme="majorBidi" w:hAnsiTheme="majorBidi" w:cstheme="majorBidi"/>
          <w:sz w:val="20"/>
          <w:szCs w:val="20"/>
          <w:lang w:bidi="ar-DZ"/>
        </w:rPr>
        <w:t>ommerce, agence nationale de promotion du commerce extérieur, algex</w:t>
      </w:r>
      <w:r w:rsidR="0033142B">
        <w:rPr>
          <w:rFonts w:asciiTheme="majorBidi" w:hAnsiTheme="majorBidi" w:cstheme="majorBidi"/>
          <w:sz w:val="20"/>
          <w:szCs w:val="20"/>
          <w:lang w:bidi="ar-DZ"/>
        </w:rPr>
        <w:t xml:space="preserve">. </w:t>
      </w:r>
    </w:p>
    <w:p w:rsidR="00B35CF7" w:rsidRPr="00A6119D" w:rsidRDefault="00B35CF7" w:rsidP="00B35CF7">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6119D">
        <w:rPr>
          <w:rFonts w:ascii="Traditional Arabic" w:hAnsi="Traditional Arabic" w:cs="Traditional Arabic" w:hint="cs"/>
          <w:sz w:val="32"/>
          <w:szCs w:val="32"/>
          <w:rtl/>
          <w:lang w:bidi="ar-DZ"/>
        </w:rPr>
        <w:t xml:space="preserve"> إن تأثير انخفاض الدولار أمام الأورو على الميزان التجاري يكون من خلال انخفاض قيمة الصادرات عند تحويلها للعملة الأوروبية الأورو، وارتفاع قيمة الواردات، وهذا نظرا للخاصية التي تميز التجارة الخارجية للجزائر، حيث أن صادراتها تسعر بالدولار، في حين أن غالبية وارداتها تسعر بالأورو، ويتم الدفع نقدا (</w:t>
      </w:r>
      <w:r w:rsidRPr="00A6119D">
        <w:rPr>
          <w:rFonts w:ascii="Traditional Arabic" w:hAnsi="Traditional Arabic" w:cs="Traditional Arabic" w:hint="cs"/>
          <w:sz w:val="24"/>
          <w:szCs w:val="24"/>
          <w:rtl/>
          <w:lang w:bidi="ar-DZ"/>
        </w:rPr>
        <w:t>84.37</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w:t>
      </w:r>
      <w:r w:rsidRPr="00A6119D">
        <w:rPr>
          <w:rFonts w:ascii="Traditional Arabic" w:hAnsi="Traditional Arabic" w:cs="Traditional Arabic" w:hint="cs"/>
          <w:sz w:val="24"/>
          <w:szCs w:val="24"/>
          <w:rtl/>
          <w:lang w:bidi="ar-DZ"/>
        </w:rPr>
        <w:t xml:space="preserve"> </w:t>
      </w:r>
      <w:r w:rsidRPr="00A6119D">
        <w:rPr>
          <w:rFonts w:ascii="Traditional Arabic" w:hAnsi="Traditional Arabic" w:cs="Traditional Arabic" w:hint="cs"/>
          <w:sz w:val="32"/>
          <w:szCs w:val="32"/>
          <w:rtl/>
          <w:lang w:bidi="ar-DZ"/>
        </w:rPr>
        <w:t xml:space="preserve">ما يقارب </w:t>
      </w:r>
      <w:r w:rsidRPr="00A6119D">
        <w:rPr>
          <w:rFonts w:ascii="Traditional Arabic" w:hAnsi="Traditional Arabic" w:cs="Traditional Arabic" w:hint="cs"/>
          <w:sz w:val="24"/>
          <w:szCs w:val="24"/>
          <w:rtl/>
          <w:lang w:bidi="ar-DZ"/>
        </w:rPr>
        <w:t xml:space="preserve">33.3 </w:t>
      </w:r>
      <w:r w:rsidRPr="00A6119D">
        <w:rPr>
          <w:rFonts w:ascii="Traditional Arabic" w:hAnsi="Traditional Arabic" w:cs="Traditional Arabic" w:hint="cs"/>
          <w:sz w:val="32"/>
          <w:szCs w:val="32"/>
          <w:rtl/>
          <w:lang w:bidi="ar-DZ"/>
        </w:rPr>
        <w:t xml:space="preserve">مليار دولار في عام </w:t>
      </w:r>
      <w:r w:rsidRPr="00A6119D">
        <w:rPr>
          <w:rFonts w:ascii="Traditional Arabic" w:hAnsi="Traditional Arabic" w:cs="Traditional Arabic" w:hint="cs"/>
          <w:sz w:val="24"/>
          <w:szCs w:val="24"/>
          <w:rtl/>
          <w:lang w:bidi="ar-DZ"/>
        </w:rPr>
        <w:t>2008</w:t>
      </w:r>
      <w:r w:rsidRPr="00EB7927">
        <w:rPr>
          <w:rStyle w:val="Appelnotedebasdep"/>
          <w:rFonts w:ascii="Traditional Arabic" w:hAnsi="Traditional Arabic" w:cs="Traditional Arabic"/>
          <w:sz w:val="32"/>
          <w:szCs w:val="32"/>
          <w:rtl/>
          <w:lang w:bidi="ar-DZ"/>
        </w:rPr>
        <w:footnoteReference w:id="51"/>
      </w:r>
      <w:r w:rsidRPr="00A6119D">
        <w:rPr>
          <w:rFonts w:ascii="Traditional Arabic" w:hAnsi="Traditional Arabic" w:cs="Traditional Arabic" w:hint="cs"/>
          <w:sz w:val="32"/>
          <w:szCs w:val="32"/>
          <w:rtl/>
          <w:lang w:bidi="ar-DZ"/>
        </w:rPr>
        <w:t>) وبالتالي يؤدي هذا إلى تدهور رصيد الميزان التجاري الذي ينعكس بدوره على رصيد ميزان المدفوعات، أي نستنتج أن ضعف الدولار مقابل الأ</w:t>
      </w:r>
      <w:r>
        <w:rPr>
          <w:rFonts w:ascii="Traditional Arabic" w:hAnsi="Traditional Arabic" w:cs="Traditional Arabic" w:hint="cs"/>
          <w:sz w:val="32"/>
          <w:szCs w:val="32"/>
          <w:rtl/>
          <w:lang w:bidi="ar-DZ"/>
        </w:rPr>
        <w:t xml:space="preserve">ورو يؤدي إلى تدهور رصيد ميزان </w:t>
      </w:r>
      <w:r w:rsidRPr="00A6119D">
        <w:rPr>
          <w:rFonts w:ascii="Traditional Arabic" w:hAnsi="Traditional Arabic" w:cs="Traditional Arabic" w:hint="cs"/>
          <w:sz w:val="32"/>
          <w:szCs w:val="32"/>
          <w:rtl/>
          <w:lang w:bidi="ar-DZ"/>
        </w:rPr>
        <w:t>مدفوعات</w:t>
      </w:r>
      <w:r>
        <w:rPr>
          <w:rFonts w:ascii="Traditional Arabic" w:hAnsi="Traditional Arabic" w:cs="Traditional Arabic" w:hint="cs"/>
          <w:sz w:val="32"/>
          <w:szCs w:val="32"/>
          <w:rtl/>
          <w:lang w:bidi="ar-DZ"/>
        </w:rPr>
        <w:t xml:space="preserve"> الجزائر</w:t>
      </w:r>
      <w:r w:rsidRPr="00A6119D">
        <w:rPr>
          <w:rFonts w:ascii="Traditional Arabic" w:hAnsi="Traditional Arabic" w:cs="Traditional Arabic" w:hint="cs"/>
          <w:sz w:val="32"/>
          <w:szCs w:val="32"/>
          <w:rtl/>
          <w:lang w:bidi="ar-DZ"/>
        </w:rPr>
        <w:t xml:space="preserve">.      </w:t>
      </w:r>
      <w:r w:rsidRPr="00A6119D">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w:t>
      </w:r>
    </w:p>
    <w:p w:rsidR="00B35CF7" w:rsidRPr="00A6119D" w:rsidRDefault="00B35CF7" w:rsidP="00B35CF7">
      <w:pPr>
        <w:pStyle w:val="En-tte"/>
        <w:bidi/>
        <w:rPr>
          <w:rFonts w:ascii="Traditional Arabic" w:hAnsi="Traditional Arabic" w:cs="Traditional Arabic"/>
          <w:b/>
          <w:bCs/>
          <w:sz w:val="32"/>
          <w:szCs w:val="32"/>
          <w:rtl/>
          <w:lang w:bidi="ar-DZ"/>
        </w:rPr>
      </w:pPr>
      <w:r w:rsidRPr="00A6119D">
        <w:rPr>
          <w:rFonts w:ascii="Traditional Arabic" w:hAnsi="Traditional Arabic" w:cs="Traditional Arabic" w:hint="cs"/>
          <w:b/>
          <w:bCs/>
          <w:sz w:val="24"/>
          <w:szCs w:val="24"/>
          <w:rtl/>
          <w:lang w:bidi="ar-DZ"/>
        </w:rPr>
        <w:t xml:space="preserve">2- </w:t>
      </w:r>
      <w:r w:rsidRPr="00A6119D">
        <w:rPr>
          <w:rFonts w:ascii="Traditional Arabic" w:hAnsi="Traditional Arabic" w:cs="Traditional Arabic"/>
          <w:b/>
          <w:bCs/>
          <w:sz w:val="32"/>
          <w:szCs w:val="32"/>
          <w:rtl/>
          <w:lang w:bidi="ar-DZ"/>
        </w:rPr>
        <w:t>آثار الأزمة المالية على معدل صرف الدينار الجزائري:</w:t>
      </w:r>
    </w:p>
    <w:p w:rsidR="00B35CF7" w:rsidRPr="00A6119D" w:rsidRDefault="00B35CF7" w:rsidP="00B35CF7">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A6119D">
        <w:rPr>
          <w:rFonts w:ascii="Traditional Arabic" w:hAnsi="Traditional Arabic" w:cs="Traditional Arabic"/>
          <w:sz w:val="32"/>
          <w:szCs w:val="32"/>
          <w:rtl/>
          <w:lang w:bidi="ar-DZ"/>
        </w:rPr>
        <w:t xml:space="preserve">  إن طريقة تحديد معدل صرف الدينار المتميز بحذر شديد من طرف البنك المركزي الجزائري يجعل هذه العملة في منآى عن مخاطر الأزمات النقدية.</w:t>
      </w:r>
    </w:p>
    <w:p w:rsidR="00B35CF7" w:rsidRPr="00A6119D" w:rsidRDefault="00B35CF7" w:rsidP="001C3844">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6119D">
        <w:rPr>
          <w:rFonts w:ascii="Traditional Arabic" w:hAnsi="Traditional Arabic" w:cs="Traditional Arabic" w:hint="cs"/>
          <w:sz w:val="32"/>
          <w:szCs w:val="32"/>
          <w:rtl/>
          <w:lang w:bidi="ar-DZ"/>
        </w:rPr>
        <w:t xml:space="preserve">  بالرغم من الطبيعة المالية للأزمة الحالية فإن انعكاساتها التجارية دفعت السلطات النقدية الجزائرية في نهاية شهر ديسمبر </w:t>
      </w:r>
      <w:r w:rsidRPr="00A6119D">
        <w:rPr>
          <w:rFonts w:ascii="Traditional Arabic" w:hAnsi="Traditional Arabic" w:cs="Traditional Arabic" w:hint="cs"/>
          <w:sz w:val="24"/>
          <w:szCs w:val="24"/>
          <w:rtl/>
          <w:lang w:bidi="ar-DZ"/>
        </w:rPr>
        <w:t xml:space="preserve">2008 </w:t>
      </w:r>
      <w:r w:rsidRPr="00A6119D">
        <w:rPr>
          <w:rFonts w:ascii="Traditional Arabic" w:hAnsi="Traditional Arabic" w:cs="Traditional Arabic" w:hint="cs"/>
          <w:sz w:val="32"/>
          <w:szCs w:val="32"/>
          <w:rtl/>
          <w:lang w:bidi="ar-DZ"/>
        </w:rPr>
        <w:t xml:space="preserve">إلى تخفيض قيمة العملة الجزائرية، الدينار. فالانخفاض الكبير في أسعار المنتجات الأولية والمنتجات الغذائية في الأسواق الدولية على إثر الأزمة المالية زاد من طلب الجزائريين على هذه المنتجات بشكل أصبح يشكل تهديدا لاحتياطات الصرف الجزائرية. فقد انخفضت أسعار التجهيزات، سلع الاستهلاك الوسيطة والنهائية بمعدل يصل إلى </w:t>
      </w:r>
      <w:r w:rsidRPr="00A6119D">
        <w:rPr>
          <w:rFonts w:ascii="Traditional Arabic" w:hAnsi="Traditional Arabic" w:cs="Traditional Arabic" w:hint="cs"/>
          <w:sz w:val="24"/>
          <w:szCs w:val="24"/>
          <w:rtl/>
          <w:lang w:bidi="ar-DZ"/>
        </w:rPr>
        <w:t>25</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32"/>
          <w:szCs w:val="32"/>
          <w:rtl/>
          <w:lang w:bidi="ar-DZ"/>
        </w:rPr>
        <w:t xml:space="preserve"> أو أكثر بالنسبة لبعض المنتجات. ولمواجهة احتمالات ارتفاع الطلب المحلي على </w:t>
      </w:r>
      <w:r w:rsidRPr="00A6119D">
        <w:rPr>
          <w:rFonts w:ascii="Traditional Arabic" w:hAnsi="Traditional Arabic" w:cs="Traditional Arabic" w:hint="cs"/>
          <w:sz w:val="32"/>
          <w:szCs w:val="32"/>
          <w:rtl/>
          <w:lang w:bidi="ar-DZ"/>
        </w:rPr>
        <w:lastRenderedPageBreak/>
        <w:t xml:space="preserve">هذه المنتجات بادرت السلطات النقدية الجزائرية ابتداء من </w:t>
      </w:r>
      <w:r w:rsidRPr="00A6119D">
        <w:rPr>
          <w:rFonts w:ascii="Traditional Arabic" w:hAnsi="Traditional Arabic" w:cs="Traditional Arabic" w:hint="cs"/>
          <w:sz w:val="24"/>
          <w:szCs w:val="24"/>
          <w:rtl/>
          <w:lang w:bidi="ar-DZ"/>
        </w:rPr>
        <w:t xml:space="preserve">15 </w:t>
      </w:r>
      <w:r w:rsidRPr="00A6119D">
        <w:rPr>
          <w:rFonts w:ascii="Traditional Arabic" w:hAnsi="Traditional Arabic" w:cs="Traditional Arabic" w:hint="cs"/>
          <w:sz w:val="32"/>
          <w:szCs w:val="32"/>
          <w:rtl/>
          <w:lang w:bidi="ar-DZ"/>
        </w:rPr>
        <w:t xml:space="preserve">ديسمبر </w:t>
      </w:r>
      <w:r w:rsidRPr="00A6119D">
        <w:rPr>
          <w:rFonts w:ascii="Traditional Arabic" w:hAnsi="Traditional Arabic" w:cs="Traditional Arabic" w:hint="cs"/>
          <w:sz w:val="24"/>
          <w:szCs w:val="24"/>
          <w:rtl/>
          <w:lang w:bidi="ar-DZ"/>
        </w:rPr>
        <w:t xml:space="preserve">2008 </w:t>
      </w:r>
      <w:r w:rsidRPr="00A6119D">
        <w:rPr>
          <w:rFonts w:ascii="Traditional Arabic" w:hAnsi="Traditional Arabic" w:cs="Traditional Arabic" w:hint="cs"/>
          <w:sz w:val="32"/>
          <w:szCs w:val="32"/>
          <w:rtl/>
          <w:lang w:bidi="ar-DZ"/>
        </w:rPr>
        <w:t xml:space="preserve">إلى تخفيض قيمة الدينار بحوالي </w:t>
      </w:r>
      <w:r w:rsidRPr="00A6119D">
        <w:rPr>
          <w:rFonts w:ascii="Traditional Arabic" w:hAnsi="Traditional Arabic" w:cs="Traditional Arabic" w:hint="cs"/>
          <w:sz w:val="24"/>
          <w:szCs w:val="24"/>
          <w:rtl/>
          <w:lang w:bidi="ar-DZ"/>
        </w:rPr>
        <w:t>20</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24"/>
          <w:szCs w:val="24"/>
          <w:rtl/>
          <w:lang w:bidi="ar-DZ"/>
        </w:rPr>
        <w:t xml:space="preserve"> </w:t>
      </w:r>
      <w:r w:rsidRPr="00A6119D">
        <w:rPr>
          <w:rFonts w:ascii="Traditional Arabic" w:hAnsi="Traditional Arabic" w:cs="Traditional Arabic" w:hint="cs"/>
          <w:sz w:val="32"/>
          <w:szCs w:val="32"/>
          <w:rtl/>
          <w:lang w:bidi="ar-DZ"/>
        </w:rPr>
        <w:t xml:space="preserve">من قيمته، فارتفع معدل صرف الدولار إلى حوالي </w:t>
      </w:r>
      <w:r w:rsidRPr="00A6119D">
        <w:rPr>
          <w:rFonts w:ascii="Traditional Arabic" w:hAnsi="Traditional Arabic" w:cs="Traditional Arabic" w:hint="cs"/>
          <w:sz w:val="24"/>
          <w:szCs w:val="24"/>
          <w:rtl/>
          <w:lang w:bidi="ar-DZ"/>
        </w:rPr>
        <w:t xml:space="preserve">70-73 </w:t>
      </w:r>
      <w:r w:rsidRPr="00A6119D">
        <w:rPr>
          <w:rFonts w:ascii="Traditional Arabic" w:hAnsi="Traditional Arabic" w:cs="Traditional Arabic" w:hint="cs"/>
          <w:sz w:val="32"/>
          <w:szCs w:val="32"/>
          <w:rtl/>
          <w:lang w:bidi="ar-DZ"/>
        </w:rPr>
        <w:t xml:space="preserve">دولار بعدما كان يقارب </w:t>
      </w:r>
      <w:r w:rsidRPr="00A6119D">
        <w:rPr>
          <w:rFonts w:ascii="Traditional Arabic" w:hAnsi="Traditional Arabic" w:cs="Traditional Arabic" w:hint="cs"/>
          <w:sz w:val="24"/>
          <w:szCs w:val="24"/>
          <w:rtl/>
          <w:lang w:bidi="ar-DZ"/>
        </w:rPr>
        <w:t xml:space="preserve">60-63 </w:t>
      </w:r>
      <w:r w:rsidR="00EE79F8">
        <w:rPr>
          <w:rFonts w:ascii="Traditional Arabic" w:hAnsi="Traditional Arabic" w:cs="Traditional Arabic" w:hint="cs"/>
          <w:sz w:val="32"/>
          <w:szCs w:val="32"/>
          <w:rtl/>
          <w:lang w:bidi="ar-DZ"/>
        </w:rPr>
        <w:t>دولار، في وقت قفز فيه الأ</w:t>
      </w:r>
      <w:r w:rsidRPr="00A6119D">
        <w:rPr>
          <w:rFonts w:ascii="Traditional Arabic" w:hAnsi="Traditional Arabic" w:cs="Traditional Arabic" w:hint="cs"/>
          <w:sz w:val="32"/>
          <w:szCs w:val="32"/>
          <w:rtl/>
          <w:lang w:bidi="ar-DZ"/>
        </w:rPr>
        <w:t xml:space="preserve">ورو إلى فوق </w:t>
      </w:r>
      <w:r w:rsidRPr="00A6119D">
        <w:rPr>
          <w:rFonts w:ascii="Traditional Arabic" w:hAnsi="Traditional Arabic" w:cs="Traditional Arabic" w:hint="cs"/>
          <w:sz w:val="24"/>
          <w:szCs w:val="24"/>
          <w:rtl/>
          <w:lang w:bidi="ar-DZ"/>
        </w:rPr>
        <w:t xml:space="preserve">100 </w:t>
      </w:r>
      <w:r w:rsidRPr="00A6119D">
        <w:rPr>
          <w:rFonts w:ascii="Traditional Arabic" w:hAnsi="Traditional Arabic" w:cs="Traditional Arabic" w:hint="cs"/>
          <w:sz w:val="32"/>
          <w:szCs w:val="32"/>
          <w:rtl/>
          <w:lang w:bidi="ar-DZ"/>
        </w:rPr>
        <w:t xml:space="preserve">دج بعد أن كان يقارب </w:t>
      </w:r>
      <w:r w:rsidRPr="00A6119D">
        <w:rPr>
          <w:rFonts w:ascii="Traditional Arabic" w:hAnsi="Traditional Arabic" w:cs="Traditional Arabic" w:hint="cs"/>
          <w:sz w:val="24"/>
          <w:szCs w:val="24"/>
          <w:rtl/>
          <w:lang w:bidi="ar-DZ"/>
        </w:rPr>
        <w:t xml:space="preserve">80 </w:t>
      </w:r>
      <w:r w:rsidRPr="00A6119D">
        <w:rPr>
          <w:rFonts w:ascii="Traditional Arabic" w:hAnsi="Traditional Arabic" w:cs="Traditional Arabic" w:hint="cs"/>
          <w:sz w:val="32"/>
          <w:szCs w:val="32"/>
          <w:rtl/>
          <w:lang w:bidi="ar-DZ"/>
        </w:rPr>
        <w:t xml:space="preserve">دج، وهو ما جعل معدل الصرف الحقيقي للدينار الجزائري يقترب من مستوى التوازن، وهو ما سبق أن أشار إليه صندوق النقد الدولي في سبتمبر </w:t>
      </w:r>
      <w:r w:rsidRPr="00A6119D">
        <w:rPr>
          <w:rFonts w:ascii="Traditional Arabic" w:hAnsi="Traditional Arabic" w:cs="Traditional Arabic" w:hint="cs"/>
          <w:sz w:val="24"/>
          <w:szCs w:val="24"/>
          <w:rtl/>
          <w:lang w:bidi="ar-DZ"/>
        </w:rPr>
        <w:t>2008</w:t>
      </w:r>
      <w:r w:rsidRPr="00A6119D">
        <w:rPr>
          <w:rFonts w:ascii="Traditional Arabic" w:hAnsi="Traditional Arabic" w:cs="Traditional Arabic" w:hint="cs"/>
          <w:sz w:val="32"/>
          <w:szCs w:val="32"/>
          <w:rtl/>
          <w:lang w:bidi="ar-DZ"/>
        </w:rPr>
        <w:t xml:space="preserve">.   </w:t>
      </w:r>
    </w:p>
    <w:p w:rsidR="00B35CF7" w:rsidRPr="00A6119D" w:rsidRDefault="00B35CF7" w:rsidP="00B35CF7">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6119D">
        <w:rPr>
          <w:rFonts w:ascii="Traditional Arabic" w:hAnsi="Traditional Arabic" w:cs="Traditional Arabic" w:hint="cs"/>
          <w:sz w:val="32"/>
          <w:szCs w:val="32"/>
          <w:rtl/>
          <w:lang w:bidi="ar-DZ"/>
        </w:rPr>
        <w:t xml:space="preserve"> إن تخفيض قيمة الدينار جعل أسعار الواردات أكثر غلاء مما سمح بتقليص الطلب عليها مع الإبقاء على نفس فاتورة الاستيراد، وهو ما يعني أن الطلب الجزائري لن يكون له أثر على الأسواق الأوروبية وال</w:t>
      </w:r>
      <w:r>
        <w:rPr>
          <w:rFonts w:ascii="Traditional Arabic" w:hAnsi="Traditional Arabic" w:cs="Traditional Arabic" w:hint="cs"/>
          <w:sz w:val="32"/>
          <w:szCs w:val="32"/>
          <w:rtl/>
          <w:lang w:bidi="ar-DZ"/>
        </w:rPr>
        <w:t>أمريكية رغم انخفاض الأسعار فيها</w:t>
      </w:r>
      <w:r w:rsidRPr="00A6119D">
        <w:rPr>
          <w:rFonts w:ascii="Traditional Arabic" w:hAnsi="Traditional Arabic" w:cs="Traditional Arabic" w:hint="cs"/>
          <w:sz w:val="32"/>
          <w:szCs w:val="32"/>
          <w:rtl/>
          <w:lang w:bidi="ar-DZ"/>
        </w:rPr>
        <w:t xml:space="preserve">. فهذا التخفيض وغيره من التخفيضات السابقة كان بالإمكان أن تكون لها آثار إيجابية لو </w:t>
      </w:r>
      <w:r>
        <w:rPr>
          <w:rFonts w:ascii="Traditional Arabic" w:hAnsi="Traditional Arabic" w:cs="Traditional Arabic" w:hint="cs"/>
          <w:sz w:val="32"/>
          <w:szCs w:val="32"/>
          <w:rtl/>
          <w:lang w:bidi="ar-DZ"/>
        </w:rPr>
        <w:t>أن</w:t>
      </w:r>
      <w:r w:rsidRPr="00A6119D">
        <w:rPr>
          <w:rFonts w:ascii="Traditional Arabic" w:hAnsi="Traditional Arabic" w:cs="Traditional Arabic" w:hint="cs"/>
          <w:sz w:val="32"/>
          <w:szCs w:val="32"/>
          <w:rtl/>
          <w:lang w:bidi="ar-DZ"/>
        </w:rPr>
        <w:t xml:space="preserve"> صادرات الجزائر</w:t>
      </w:r>
      <w:r>
        <w:rPr>
          <w:rFonts w:ascii="Traditional Arabic" w:hAnsi="Traditional Arabic" w:cs="Traditional Arabic" w:hint="cs"/>
          <w:sz w:val="32"/>
          <w:szCs w:val="32"/>
          <w:rtl/>
          <w:lang w:bidi="ar-DZ"/>
        </w:rPr>
        <w:t xml:space="preserve"> خارج المحروقات</w:t>
      </w:r>
      <w:r w:rsidRPr="00A6119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تعدت</w:t>
      </w:r>
      <w:r w:rsidRPr="00A6119D">
        <w:rPr>
          <w:rFonts w:ascii="Traditional Arabic" w:hAnsi="Traditional Arabic" w:cs="Traditional Arabic" w:hint="cs"/>
          <w:sz w:val="32"/>
          <w:szCs w:val="32"/>
          <w:rtl/>
          <w:lang w:bidi="ar-DZ"/>
        </w:rPr>
        <w:t xml:space="preserve"> </w:t>
      </w:r>
      <w:r>
        <w:rPr>
          <w:rFonts w:ascii="Traditional Arabic" w:hAnsi="Traditional Arabic" w:cs="Traditional Arabic" w:hint="cs"/>
          <w:sz w:val="24"/>
          <w:szCs w:val="24"/>
          <w:rtl/>
          <w:lang w:bidi="ar-DZ"/>
        </w:rPr>
        <w:t>3</w:t>
      </w:r>
      <w:r w:rsidRPr="00A6119D">
        <w:rPr>
          <w:rFonts w:ascii="Traditional Arabic" w:hAnsi="Traditional Arabic" w:cs="Traditional Arabic"/>
          <w:sz w:val="24"/>
          <w:szCs w:val="24"/>
          <w:rtl/>
          <w:lang w:bidi="ar-DZ"/>
        </w:rPr>
        <w:t>%</w:t>
      </w:r>
      <w:r w:rsidRPr="00A6119D">
        <w:rPr>
          <w:rFonts w:ascii="Traditional Arabic" w:hAnsi="Traditional Arabic" w:cs="Traditional Arabic" w:hint="cs"/>
          <w:sz w:val="24"/>
          <w:szCs w:val="24"/>
          <w:rtl/>
          <w:lang w:bidi="ar-DZ"/>
        </w:rPr>
        <w:t xml:space="preserve"> </w:t>
      </w:r>
      <w:r w:rsidRPr="00A6119D">
        <w:rPr>
          <w:rFonts w:ascii="Traditional Arabic" w:hAnsi="Traditional Arabic" w:cs="Traditional Arabic" w:hint="cs"/>
          <w:sz w:val="32"/>
          <w:szCs w:val="32"/>
          <w:rtl/>
          <w:lang w:bidi="ar-DZ"/>
        </w:rPr>
        <w:t>من مجموع الصادرات</w:t>
      </w:r>
      <w:r>
        <w:rPr>
          <w:rFonts w:ascii="Traditional Arabic" w:hAnsi="Traditional Arabic" w:cs="Traditional Arabic" w:hint="cs"/>
          <w:sz w:val="32"/>
          <w:szCs w:val="32"/>
          <w:rtl/>
          <w:lang w:bidi="ar-DZ"/>
        </w:rPr>
        <w:t xml:space="preserve"> بنسبة كبيرة</w:t>
      </w:r>
      <w:r w:rsidRPr="00A6119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B35CF7" w:rsidRPr="00A6119D" w:rsidRDefault="00B35CF7" w:rsidP="00B35CF7">
      <w:pPr>
        <w:tabs>
          <w:tab w:val="right" w:pos="567"/>
          <w:tab w:val="left" w:pos="850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6119D">
        <w:rPr>
          <w:rFonts w:ascii="Traditional Arabic" w:hAnsi="Traditional Arabic" w:cs="Traditional Arabic" w:hint="cs"/>
          <w:sz w:val="32"/>
          <w:szCs w:val="32"/>
          <w:rtl/>
          <w:lang w:bidi="ar-DZ"/>
        </w:rPr>
        <w:t xml:space="preserve"> يجب القول أن هذا التخفيض مبرر بالنسبة للأورو</w:t>
      </w:r>
      <w:r>
        <w:rPr>
          <w:rFonts w:ascii="Traditional Arabic" w:hAnsi="Traditional Arabic" w:cs="Traditional Arabic" w:hint="cs"/>
          <w:sz w:val="32"/>
          <w:szCs w:val="32"/>
          <w:rtl/>
          <w:lang w:bidi="ar-DZ"/>
        </w:rPr>
        <w:t>،</w:t>
      </w:r>
      <w:r w:rsidRPr="00A6119D">
        <w:rPr>
          <w:rFonts w:ascii="Traditional Arabic" w:hAnsi="Traditional Arabic" w:cs="Traditional Arabic" w:hint="cs"/>
          <w:sz w:val="32"/>
          <w:szCs w:val="32"/>
          <w:rtl/>
          <w:lang w:bidi="ar-DZ"/>
        </w:rPr>
        <w:t xml:space="preserve"> لكنه غير مبرر بالنسبة للدولار الذي تش</w:t>
      </w:r>
      <w:r>
        <w:rPr>
          <w:rFonts w:ascii="Traditional Arabic" w:hAnsi="Traditional Arabic" w:cs="Traditional Arabic" w:hint="cs"/>
          <w:sz w:val="32"/>
          <w:szCs w:val="32"/>
          <w:rtl/>
          <w:lang w:bidi="ar-DZ"/>
        </w:rPr>
        <w:t>هد معدلات صرفه تناقصا،</w:t>
      </w:r>
      <w:r w:rsidRPr="00A6119D">
        <w:rPr>
          <w:rFonts w:ascii="Traditional Arabic" w:hAnsi="Traditional Arabic" w:cs="Traditional Arabic" w:hint="cs"/>
          <w:sz w:val="32"/>
          <w:szCs w:val="32"/>
          <w:rtl/>
          <w:lang w:bidi="ar-DZ"/>
        </w:rPr>
        <w:t xml:space="preserve"> كما </w:t>
      </w:r>
      <w:r>
        <w:rPr>
          <w:rFonts w:ascii="Traditional Arabic" w:hAnsi="Traditional Arabic" w:cs="Traditional Arabic" w:hint="cs"/>
          <w:sz w:val="32"/>
          <w:szCs w:val="32"/>
          <w:rtl/>
          <w:lang w:bidi="ar-DZ"/>
        </w:rPr>
        <w:t xml:space="preserve">أن </w:t>
      </w:r>
      <w:r w:rsidRPr="00A6119D">
        <w:rPr>
          <w:rFonts w:ascii="Traditional Arabic" w:hAnsi="Traditional Arabic" w:cs="Traditional Arabic" w:hint="cs"/>
          <w:sz w:val="32"/>
          <w:szCs w:val="32"/>
          <w:rtl/>
          <w:lang w:bidi="ar-DZ"/>
        </w:rPr>
        <w:t>المبدأ المعتمد في التعديل يجب أن يعتمد في كل الحالات، وهو ما لا يعتم</w:t>
      </w:r>
      <w:r>
        <w:rPr>
          <w:rFonts w:ascii="Traditional Arabic" w:hAnsi="Traditional Arabic" w:cs="Traditional Arabic" w:hint="cs"/>
          <w:sz w:val="32"/>
          <w:szCs w:val="32"/>
          <w:rtl/>
          <w:lang w:bidi="ar-DZ"/>
        </w:rPr>
        <w:t>د في حالات ارتفاع سعر النفط، وهذا</w:t>
      </w:r>
      <w:r w:rsidRPr="00A6119D">
        <w:rPr>
          <w:rFonts w:ascii="Traditional Arabic" w:hAnsi="Traditional Arabic" w:cs="Traditional Arabic" w:hint="cs"/>
          <w:sz w:val="32"/>
          <w:szCs w:val="32"/>
          <w:rtl/>
          <w:lang w:bidi="ar-DZ"/>
        </w:rPr>
        <w:t xml:space="preserve"> ما يوحي بعدم وجود انسجام في سياسة الصرف المتبعة من طرف البنك المركزي الجزائري. </w:t>
      </w:r>
      <w:r>
        <w:rPr>
          <w:rFonts w:ascii="Traditional Arabic" w:hAnsi="Traditional Arabic" w:cs="Traditional Arabic" w:hint="cs"/>
          <w:sz w:val="32"/>
          <w:szCs w:val="32"/>
          <w:rtl/>
          <w:lang w:bidi="ar-DZ"/>
        </w:rPr>
        <w:t xml:space="preserve"> </w:t>
      </w:r>
    </w:p>
    <w:p w:rsidR="00B35CF7" w:rsidRPr="00A6119D" w:rsidRDefault="00B35CF7" w:rsidP="00B35CF7">
      <w:pPr>
        <w:tabs>
          <w:tab w:val="right" w:pos="567"/>
          <w:tab w:val="left" w:pos="8505"/>
        </w:tabs>
        <w:bidi/>
        <w:jc w:val="both"/>
        <w:rPr>
          <w:rFonts w:ascii="Traditional Arabic" w:hAnsi="Traditional Arabic" w:cs="Traditional Arabic"/>
          <w:sz w:val="32"/>
          <w:szCs w:val="32"/>
          <w:lang w:bidi="ar-DZ"/>
        </w:rPr>
      </w:pPr>
      <w:r w:rsidRPr="00A6119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A6119D">
        <w:rPr>
          <w:rFonts w:ascii="Traditional Arabic" w:hAnsi="Traditional Arabic" w:cs="Traditional Arabic" w:hint="cs"/>
          <w:sz w:val="32"/>
          <w:szCs w:val="32"/>
          <w:rtl/>
          <w:lang w:bidi="ar-DZ"/>
        </w:rPr>
        <w:t xml:space="preserve"> إن تخفيض قيمة الدينار مقارنة بالدولار من شأنه أن يجعل إيرادات الجزائر من تصدير المحروقات تبدو كما لو ارتفعت، وهو ما يجعل موارد الجباية النفطية ترتفع ظاهريا مما يوحي بانخفاض العجز الموازني، </w:t>
      </w:r>
      <w:r>
        <w:rPr>
          <w:rFonts w:ascii="Traditional Arabic" w:hAnsi="Traditional Arabic" w:cs="Traditional Arabic" w:hint="cs"/>
          <w:sz w:val="32"/>
          <w:szCs w:val="32"/>
          <w:rtl/>
          <w:lang w:bidi="ar-DZ"/>
        </w:rPr>
        <w:t>ولكن</w:t>
      </w:r>
      <w:r w:rsidRPr="00A6119D">
        <w:rPr>
          <w:rFonts w:ascii="Traditional Arabic" w:hAnsi="Traditional Arabic" w:cs="Traditional Arabic" w:hint="cs"/>
          <w:sz w:val="32"/>
          <w:szCs w:val="32"/>
          <w:rtl/>
          <w:lang w:bidi="ar-DZ"/>
        </w:rPr>
        <w:t xml:space="preserve"> يخفي العجز الحقيقي</w:t>
      </w:r>
      <w:r w:rsidRPr="00A6119D">
        <w:rPr>
          <w:rStyle w:val="Appelnotedebasdep"/>
          <w:rFonts w:ascii="Traditional Arabic" w:hAnsi="Traditional Arabic" w:cs="Traditional Arabic"/>
          <w:sz w:val="32"/>
          <w:szCs w:val="32"/>
          <w:rtl/>
          <w:lang w:bidi="ar-DZ"/>
        </w:rPr>
        <w:footnoteReference w:id="52"/>
      </w:r>
      <w:r w:rsidRPr="00A6119D">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B35CF7" w:rsidRPr="00A6119D" w:rsidRDefault="00A145AC" w:rsidP="00B35CF7">
      <w:pPr>
        <w:bidi/>
        <w:spacing w:after="0"/>
        <w:rPr>
          <w:rFonts w:ascii="Traditional Arabic" w:hAnsi="Traditional Arabic" w:cs="Traditional Arabic"/>
          <w:b/>
          <w:bCs/>
          <w:sz w:val="32"/>
          <w:szCs w:val="32"/>
        </w:rPr>
      </w:pPr>
      <w:r w:rsidRPr="00A145AC">
        <w:rPr>
          <w:rFonts w:ascii="Traditional Arabic" w:hAnsi="Traditional Arabic" w:cs="Traditional Arabic" w:hint="cs"/>
          <w:b/>
          <w:bCs/>
          <w:sz w:val="32"/>
          <w:szCs w:val="32"/>
          <w:rtl/>
        </w:rPr>
        <w:t>المطلب الرابع:</w:t>
      </w:r>
      <w:r w:rsidR="00B35CF7" w:rsidRPr="00A145AC">
        <w:rPr>
          <w:rFonts w:ascii="Traditional Arabic" w:hAnsi="Traditional Arabic" w:cs="Traditional Arabic" w:hint="cs"/>
          <w:b/>
          <w:bCs/>
          <w:sz w:val="32"/>
          <w:szCs w:val="32"/>
          <w:rtl/>
        </w:rPr>
        <w:t xml:space="preserve"> </w:t>
      </w:r>
      <w:r w:rsidR="00B35CF7" w:rsidRPr="00A145AC">
        <w:rPr>
          <w:rFonts w:ascii="Traditional Arabic" w:hAnsi="Traditional Arabic" w:cs="Traditional Arabic"/>
          <w:b/>
          <w:bCs/>
          <w:sz w:val="32"/>
          <w:szCs w:val="32"/>
          <w:rtl/>
        </w:rPr>
        <w:t>الانعكاسات</w:t>
      </w:r>
      <w:r w:rsidR="00B35CF7" w:rsidRPr="00A6119D">
        <w:rPr>
          <w:rFonts w:ascii="Traditional Arabic" w:hAnsi="Traditional Arabic" w:cs="Traditional Arabic"/>
          <w:b/>
          <w:bCs/>
          <w:sz w:val="32"/>
          <w:szCs w:val="32"/>
          <w:rtl/>
        </w:rPr>
        <w:t xml:space="preserve"> على الاستثمار الأجنبي المباشر في الجزائر: </w:t>
      </w:r>
    </w:p>
    <w:p w:rsidR="00B35CF7" w:rsidRPr="00A6119D" w:rsidRDefault="00B35CF7" w:rsidP="00B35CF7">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 إن عزوف رأس المال الأجنبي عن القدوم إلى الجزائر مرده إلى نقص الانفتاح والحرية في الاقتصاد الجزائري، وهذا بالنظر إلى معايير إنشاء المؤسسات، عدد مناصب الشغل، التجارة العابرة للحدود، حماية المستثمرين، الحصول على القروض، الحصول على الرخص، دفع الضرائب، نقل أو تحويل الملكية، تنفيذ العقود، وغلق المؤسسات...إلخ. ففي مجال التشغيل تتميز القوانين الجزائرية بالجساوة في مجال التوظيف والطرد. أما في مجال إنشاء المؤسسات فإن الجزائر تتميز بتعدد إجراءات تأسيس المؤسسات، إذ تفرض </w:t>
      </w:r>
      <w:r w:rsidRPr="00A6119D">
        <w:rPr>
          <w:rFonts w:ascii="Traditional Arabic" w:hAnsi="Traditional Arabic" w:cs="Traditional Arabic" w:hint="cs"/>
          <w:sz w:val="24"/>
          <w:szCs w:val="24"/>
          <w:rtl/>
        </w:rPr>
        <w:t xml:space="preserve">14 </w:t>
      </w:r>
      <w:r w:rsidRPr="00A6119D">
        <w:rPr>
          <w:rFonts w:ascii="Traditional Arabic" w:hAnsi="Traditional Arabic" w:cs="Traditional Arabic" w:hint="cs"/>
          <w:sz w:val="32"/>
          <w:szCs w:val="32"/>
          <w:rtl/>
        </w:rPr>
        <w:t xml:space="preserve">إجراء، وهو </w:t>
      </w:r>
      <w:r w:rsidRPr="00A6119D">
        <w:rPr>
          <w:rFonts w:ascii="Traditional Arabic" w:hAnsi="Traditional Arabic" w:cs="Traditional Arabic" w:hint="cs"/>
          <w:sz w:val="32"/>
          <w:szCs w:val="32"/>
          <w:rtl/>
        </w:rPr>
        <w:lastRenderedPageBreak/>
        <w:t xml:space="preserve">ما يتطلب </w:t>
      </w:r>
      <w:r w:rsidRPr="00A6119D">
        <w:rPr>
          <w:rFonts w:ascii="Traditional Arabic" w:hAnsi="Traditional Arabic" w:cs="Traditional Arabic" w:hint="cs"/>
          <w:sz w:val="24"/>
          <w:szCs w:val="24"/>
          <w:rtl/>
        </w:rPr>
        <w:t xml:space="preserve">21 </w:t>
      </w:r>
      <w:r w:rsidRPr="00A6119D">
        <w:rPr>
          <w:rFonts w:ascii="Traditional Arabic" w:hAnsi="Traditional Arabic" w:cs="Traditional Arabic" w:hint="cs"/>
          <w:sz w:val="32"/>
          <w:szCs w:val="32"/>
          <w:rtl/>
        </w:rPr>
        <w:t xml:space="preserve">يوم لانطلاق النشاطات الجديدة، وهي مدة طويلة نسبيا إذا ما قورنت بقطر التي لا تتعدى فيها هذه المدة </w:t>
      </w:r>
      <w:r w:rsidRPr="00A6119D">
        <w:rPr>
          <w:rFonts w:ascii="Traditional Arabic" w:hAnsi="Traditional Arabic" w:cs="Traditional Arabic" w:hint="cs"/>
          <w:sz w:val="24"/>
          <w:szCs w:val="24"/>
          <w:rtl/>
        </w:rPr>
        <w:t>6</w:t>
      </w:r>
      <w:r w:rsidRPr="00A6119D">
        <w:rPr>
          <w:rFonts w:ascii="Traditional Arabic" w:hAnsi="Traditional Arabic" w:cs="Traditional Arabic" w:hint="cs"/>
          <w:sz w:val="32"/>
          <w:szCs w:val="32"/>
          <w:rtl/>
        </w:rPr>
        <w:t xml:space="preserve"> أيام.  </w:t>
      </w:r>
    </w:p>
    <w:p w:rsidR="00B35CF7" w:rsidRPr="00A6119D" w:rsidRDefault="00B35CF7" w:rsidP="00B35CF7">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أما في مجال التمويل فإن الأمر ليس بأحسن، إن كثر الإجراءات البيروقراطية المرافقة لعمليات التصدير والاستيراد يرفع المدة المتوسطة للقيام بالتصدير إلى حوالي </w:t>
      </w:r>
      <w:r w:rsidRPr="00A6119D">
        <w:rPr>
          <w:rFonts w:ascii="Traditional Arabic" w:hAnsi="Traditional Arabic" w:cs="Traditional Arabic" w:hint="cs"/>
          <w:sz w:val="24"/>
          <w:szCs w:val="24"/>
          <w:rtl/>
        </w:rPr>
        <w:t xml:space="preserve">17 </w:t>
      </w:r>
      <w:r w:rsidRPr="00A6119D">
        <w:rPr>
          <w:rFonts w:ascii="Traditional Arabic" w:hAnsi="Traditional Arabic" w:cs="Traditional Arabic" w:hint="cs"/>
          <w:sz w:val="32"/>
          <w:szCs w:val="32"/>
          <w:rtl/>
        </w:rPr>
        <w:t xml:space="preserve">يوما وهو ما يكلف حوالي </w:t>
      </w:r>
      <w:r w:rsidRPr="00A6119D">
        <w:rPr>
          <w:rFonts w:ascii="Traditional Arabic" w:hAnsi="Traditional Arabic" w:cs="Traditional Arabic" w:hint="cs"/>
          <w:sz w:val="24"/>
          <w:szCs w:val="24"/>
          <w:rtl/>
        </w:rPr>
        <w:t xml:space="preserve">1248 </w:t>
      </w:r>
      <w:r w:rsidRPr="00A6119D">
        <w:rPr>
          <w:rFonts w:ascii="Traditional Arabic" w:hAnsi="Traditional Arabic" w:cs="Traditional Arabic" w:hint="cs"/>
          <w:sz w:val="32"/>
          <w:szCs w:val="32"/>
          <w:rtl/>
        </w:rPr>
        <w:t xml:space="preserve">دولار لكل حاوية، في حين يبلغ المتوسط الجهوي حوالي </w:t>
      </w:r>
      <w:r w:rsidRPr="00A6119D">
        <w:rPr>
          <w:rFonts w:ascii="Traditional Arabic" w:hAnsi="Traditional Arabic" w:cs="Traditional Arabic" w:hint="cs"/>
          <w:sz w:val="24"/>
          <w:szCs w:val="24"/>
          <w:rtl/>
        </w:rPr>
        <w:t xml:space="preserve">1024 </w:t>
      </w:r>
      <w:r w:rsidRPr="00A6119D">
        <w:rPr>
          <w:rFonts w:ascii="Traditional Arabic" w:hAnsi="Traditional Arabic" w:cs="Traditional Arabic" w:hint="cs"/>
          <w:sz w:val="32"/>
          <w:szCs w:val="32"/>
          <w:rtl/>
        </w:rPr>
        <w:t xml:space="preserve">دولار للحاوية الواحدة. أما من جانب الواردات فإن العملية الواحدة تتطلب مدة تقدر بـ </w:t>
      </w:r>
      <w:r w:rsidRPr="00A6119D">
        <w:rPr>
          <w:rFonts w:ascii="Traditional Arabic" w:hAnsi="Traditional Arabic" w:cs="Traditional Arabic" w:hint="cs"/>
          <w:sz w:val="24"/>
          <w:szCs w:val="24"/>
          <w:rtl/>
        </w:rPr>
        <w:t xml:space="preserve">23 </w:t>
      </w:r>
      <w:r w:rsidRPr="00A6119D">
        <w:rPr>
          <w:rFonts w:ascii="Traditional Arabic" w:hAnsi="Traditional Arabic" w:cs="Traditional Arabic" w:hint="cs"/>
          <w:sz w:val="32"/>
          <w:szCs w:val="32"/>
          <w:rtl/>
        </w:rPr>
        <w:t xml:space="preserve">يوم وتكلف </w:t>
      </w:r>
      <w:r w:rsidRPr="00A6119D">
        <w:rPr>
          <w:rFonts w:ascii="Traditional Arabic" w:hAnsi="Traditional Arabic" w:cs="Traditional Arabic" w:hint="cs"/>
          <w:sz w:val="24"/>
          <w:szCs w:val="24"/>
          <w:rtl/>
        </w:rPr>
        <w:t xml:space="preserve">1428 </w:t>
      </w:r>
      <w:r w:rsidRPr="00A6119D">
        <w:rPr>
          <w:rFonts w:ascii="Traditional Arabic" w:hAnsi="Traditional Arabic" w:cs="Traditional Arabic" w:hint="cs"/>
          <w:sz w:val="32"/>
          <w:szCs w:val="32"/>
          <w:rtl/>
        </w:rPr>
        <w:t xml:space="preserve">دولار للحاوية الواحدة، في حين نفس العملية لا تتطلب أكثر من </w:t>
      </w:r>
      <w:r w:rsidRPr="00A6119D">
        <w:rPr>
          <w:rFonts w:ascii="Traditional Arabic" w:hAnsi="Traditional Arabic" w:cs="Traditional Arabic" w:hint="cs"/>
          <w:sz w:val="24"/>
          <w:szCs w:val="24"/>
          <w:rtl/>
        </w:rPr>
        <w:t xml:space="preserve">10 </w:t>
      </w:r>
      <w:r w:rsidRPr="00A6119D">
        <w:rPr>
          <w:rFonts w:ascii="Traditional Arabic" w:hAnsi="Traditional Arabic" w:cs="Traditional Arabic" w:hint="cs"/>
          <w:sz w:val="32"/>
          <w:szCs w:val="32"/>
          <w:rtl/>
        </w:rPr>
        <w:t xml:space="preserve">أيام في الإمارات العربية المتحدة ولا تكلف أكثر من </w:t>
      </w:r>
      <w:r w:rsidRPr="00A6119D">
        <w:rPr>
          <w:rFonts w:ascii="Traditional Arabic" w:hAnsi="Traditional Arabic" w:cs="Traditional Arabic" w:hint="cs"/>
          <w:sz w:val="24"/>
          <w:szCs w:val="24"/>
          <w:rtl/>
        </w:rPr>
        <w:t xml:space="preserve">587 </w:t>
      </w:r>
      <w:r w:rsidRPr="00A6119D">
        <w:rPr>
          <w:rFonts w:ascii="Traditional Arabic" w:hAnsi="Traditional Arabic" w:cs="Traditional Arabic" w:hint="cs"/>
          <w:sz w:val="32"/>
          <w:szCs w:val="32"/>
          <w:rtl/>
        </w:rPr>
        <w:t>دولار للحاوية الواحدة</w:t>
      </w:r>
      <w:r w:rsidRPr="00A6119D">
        <w:rPr>
          <w:rStyle w:val="Appelnotedebasdep"/>
          <w:rFonts w:ascii="Traditional Arabic" w:hAnsi="Traditional Arabic" w:cs="Traditional Arabic"/>
          <w:sz w:val="32"/>
          <w:szCs w:val="32"/>
          <w:rtl/>
        </w:rPr>
        <w:footnoteReference w:id="53"/>
      </w:r>
      <w:r w:rsidRPr="00A6119D">
        <w:rPr>
          <w:rFonts w:ascii="Traditional Arabic" w:hAnsi="Traditional Arabic" w:cs="Traditional Arabic" w:hint="cs"/>
          <w:sz w:val="32"/>
          <w:szCs w:val="32"/>
          <w:rtl/>
        </w:rPr>
        <w:t xml:space="preserve">.   </w:t>
      </w:r>
    </w:p>
    <w:p w:rsidR="00B35CF7" w:rsidRPr="00A6119D" w:rsidRDefault="00B35CF7" w:rsidP="00C71DB0">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هذا المناخ الاستثماري المتاح في الجزائر هو الذي يمكن أن يفسر عز</w:t>
      </w:r>
      <w:r>
        <w:rPr>
          <w:rFonts w:ascii="Traditional Arabic" w:hAnsi="Traditional Arabic" w:cs="Traditional Arabic" w:hint="cs"/>
          <w:sz w:val="32"/>
          <w:szCs w:val="32"/>
          <w:rtl/>
        </w:rPr>
        <w:t>وف رأس المال الأجنبي على القدوم</w:t>
      </w:r>
      <w:r w:rsidRPr="00A6119D">
        <w:rPr>
          <w:rFonts w:ascii="Traditional Arabic" w:hAnsi="Traditional Arabic" w:cs="Traditional Arabic" w:hint="cs"/>
          <w:sz w:val="32"/>
          <w:szCs w:val="32"/>
          <w:rtl/>
        </w:rPr>
        <w:t xml:space="preserve">، ويمكن الوقوف على هذه المسألة بالنظر إلى تطور تدفق رأس المال الأجنبي المباشر إلى الجزائر خلال الفترة </w:t>
      </w:r>
      <w:r w:rsidRPr="00A6119D">
        <w:rPr>
          <w:rFonts w:ascii="Traditional Arabic" w:hAnsi="Traditional Arabic" w:cs="Traditional Arabic" w:hint="cs"/>
          <w:sz w:val="24"/>
          <w:szCs w:val="24"/>
          <w:rtl/>
        </w:rPr>
        <w:t>2000-</w:t>
      </w:r>
      <w:r w:rsidR="00C71DB0">
        <w:rPr>
          <w:rFonts w:ascii="Traditional Arabic" w:hAnsi="Traditional Arabic" w:cs="Traditional Arabic"/>
          <w:sz w:val="24"/>
          <w:szCs w:val="24"/>
        </w:rPr>
        <w:t>2008</w:t>
      </w:r>
      <w:r w:rsidRPr="00A6119D">
        <w:rPr>
          <w:rFonts w:ascii="Traditional Arabic" w:hAnsi="Traditional Arabic" w:cs="Traditional Arabic" w:hint="cs"/>
          <w:sz w:val="32"/>
          <w:szCs w:val="32"/>
          <w:rtl/>
        </w:rPr>
        <w:t xml:space="preserve">. </w:t>
      </w:r>
      <w:r w:rsidR="00C71DB0">
        <w:rPr>
          <w:rFonts w:ascii="Traditional Arabic" w:hAnsi="Traditional Arabic" w:cs="Traditional Arabic"/>
          <w:sz w:val="32"/>
          <w:szCs w:val="32"/>
        </w:rPr>
        <w:t xml:space="preserve"> </w:t>
      </w:r>
    </w:p>
    <w:p w:rsidR="00B35CF7" w:rsidRPr="00EF46AA" w:rsidRDefault="00B35CF7" w:rsidP="00762933">
      <w:pPr>
        <w:tabs>
          <w:tab w:val="right" w:pos="567"/>
        </w:tabs>
        <w:bidi/>
        <w:spacing w:after="0"/>
        <w:jc w:val="center"/>
        <w:rPr>
          <w:rFonts w:ascii="Traditional Arabic" w:hAnsi="Traditional Arabic" w:cs="Traditional Arabic"/>
          <w:sz w:val="32"/>
          <w:szCs w:val="32"/>
          <w:rtl/>
        </w:rPr>
      </w:pPr>
      <w:r w:rsidRPr="00EF46AA">
        <w:rPr>
          <w:rFonts w:ascii="Traditional Arabic" w:hAnsi="Traditional Arabic" w:cs="Traditional Arabic" w:hint="cs"/>
          <w:sz w:val="32"/>
          <w:szCs w:val="32"/>
          <w:rtl/>
        </w:rPr>
        <w:t xml:space="preserve">الجدول رقم </w:t>
      </w:r>
      <w:r w:rsidR="00C013DB" w:rsidRPr="00C013DB">
        <w:rPr>
          <w:rFonts w:ascii="Traditional Arabic" w:hAnsi="Traditional Arabic" w:cs="Traditional Arabic" w:hint="cs"/>
          <w:sz w:val="24"/>
          <w:szCs w:val="24"/>
          <w:rtl/>
        </w:rPr>
        <w:t>28</w:t>
      </w:r>
      <w:r w:rsidRPr="00EF46AA">
        <w:rPr>
          <w:rFonts w:ascii="Traditional Arabic" w:hAnsi="Traditional Arabic" w:cs="Traditional Arabic" w:hint="cs"/>
          <w:sz w:val="32"/>
          <w:szCs w:val="32"/>
          <w:rtl/>
        </w:rPr>
        <w:t xml:space="preserve">: تطور تدفق </w:t>
      </w:r>
      <w:r w:rsidR="009470BB">
        <w:rPr>
          <w:rFonts w:ascii="Traditional Arabic" w:hAnsi="Traditional Arabic" w:cs="Traditional Arabic" w:hint="cs"/>
          <w:sz w:val="32"/>
          <w:szCs w:val="32"/>
          <w:rtl/>
        </w:rPr>
        <w:t>الاستثمار الأجنبي المباشر</w:t>
      </w:r>
      <w:r w:rsidRPr="00EF46AA">
        <w:rPr>
          <w:rFonts w:ascii="Traditional Arabic" w:hAnsi="Traditional Arabic" w:cs="Traditional Arabic" w:hint="cs"/>
          <w:sz w:val="32"/>
          <w:szCs w:val="32"/>
          <w:rtl/>
        </w:rPr>
        <w:t xml:space="preserve"> نحو الجزائر</w:t>
      </w:r>
      <w:r w:rsidR="002F66F2">
        <w:rPr>
          <w:rFonts w:ascii="Traditional Arabic" w:hAnsi="Traditional Arabic" w:cs="Traditional Arabic" w:hint="cs"/>
          <w:sz w:val="32"/>
          <w:szCs w:val="32"/>
          <w:rtl/>
        </w:rPr>
        <w:t xml:space="preserve"> خلال الفترة </w:t>
      </w:r>
      <w:r w:rsidR="002F66F2" w:rsidRPr="002F66F2">
        <w:rPr>
          <w:rFonts w:ascii="Traditional Arabic" w:hAnsi="Traditional Arabic" w:cs="Traditional Arabic" w:hint="cs"/>
          <w:sz w:val="24"/>
          <w:szCs w:val="24"/>
          <w:rtl/>
        </w:rPr>
        <w:t>2000-2008</w:t>
      </w:r>
      <w:r w:rsidR="002F66F2">
        <w:rPr>
          <w:rFonts w:ascii="Traditional Arabic" w:hAnsi="Traditional Arabic" w:cs="Traditional Arabic" w:hint="cs"/>
          <w:sz w:val="24"/>
          <w:szCs w:val="24"/>
          <w:rtl/>
        </w:rPr>
        <w:t xml:space="preserve"> </w:t>
      </w:r>
      <w:r w:rsidRPr="00EF46AA">
        <w:rPr>
          <w:rFonts w:ascii="Traditional Arabic" w:hAnsi="Traditional Arabic" w:cs="Traditional Arabic" w:hint="cs"/>
          <w:sz w:val="32"/>
          <w:szCs w:val="32"/>
          <w:rtl/>
        </w:rPr>
        <w:t>(</w:t>
      </w:r>
      <w:r w:rsidRPr="00EF46AA">
        <w:rPr>
          <w:rFonts w:ascii="Traditional Arabic" w:hAnsi="Traditional Arabic" w:cs="Traditional Arabic" w:hint="cs"/>
          <w:sz w:val="28"/>
          <w:szCs w:val="28"/>
          <w:rtl/>
        </w:rPr>
        <w:t>مليون دولار</w:t>
      </w:r>
      <w:r w:rsidRPr="00EF46AA">
        <w:rPr>
          <w:rFonts w:ascii="Traditional Arabic" w:hAnsi="Traditional Arabic" w:cs="Traditional Arabic" w:hint="cs"/>
          <w:sz w:val="32"/>
          <w:szCs w:val="32"/>
          <w:rtl/>
        </w:rPr>
        <w:t>)</w:t>
      </w:r>
    </w:p>
    <w:tbl>
      <w:tblPr>
        <w:tblStyle w:val="Grilledutableau"/>
        <w:tblpPr w:leftFromText="141" w:rightFromText="141" w:vertAnchor="text" w:horzAnchor="margin" w:tblpXSpec="center" w:tblpY="4"/>
        <w:bidiVisual/>
        <w:tblW w:w="9038" w:type="dxa"/>
        <w:tblInd w:w="358" w:type="dxa"/>
        <w:tblLook w:val="04A0"/>
      </w:tblPr>
      <w:tblGrid>
        <w:gridCol w:w="2365"/>
        <w:gridCol w:w="1120"/>
        <w:gridCol w:w="1120"/>
        <w:gridCol w:w="1096"/>
        <w:gridCol w:w="1097"/>
        <w:gridCol w:w="1120"/>
        <w:gridCol w:w="1120"/>
      </w:tblGrid>
      <w:tr w:rsidR="00F75176" w:rsidTr="00762933">
        <w:trPr>
          <w:trHeight w:val="326"/>
        </w:trPr>
        <w:tc>
          <w:tcPr>
            <w:tcW w:w="2365" w:type="dxa"/>
          </w:tcPr>
          <w:p w:rsidR="00F75176" w:rsidRPr="00D84B02" w:rsidRDefault="00F75176" w:rsidP="007D4467">
            <w:pPr>
              <w:tabs>
                <w:tab w:val="right" w:pos="567"/>
              </w:tabs>
              <w:bidi/>
              <w:ind w:left="81" w:hanging="81"/>
              <w:rPr>
                <w:rFonts w:ascii="Traditional Arabic" w:hAnsi="Traditional Arabic" w:cs="Traditional Arabic"/>
                <w:sz w:val="28"/>
                <w:szCs w:val="28"/>
                <w:rtl/>
              </w:rPr>
            </w:pPr>
            <w:r w:rsidRPr="00D84B02">
              <w:rPr>
                <w:rFonts w:ascii="Traditional Arabic" w:hAnsi="Traditional Arabic" w:cs="Traditional Arabic" w:hint="cs"/>
                <w:sz w:val="28"/>
                <w:szCs w:val="28"/>
                <w:rtl/>
              </w:rPr>
              <w:t>السنة</w:t>
            </w:r>
          </w:p>
        </w:tc>
        <w:tc>
          <w:tcPr>
            <w:tcW w:w="1120" w:type="dxa"/>
            <w:vAlign w:val="center"/>
          </w:tcPr>
          <w:p w:rsidR="00F75176" w:rsidRPr="00B17C6B" w:rsidRDefault="00F75176" w:rsidP="00F75176">
            <w:pPr>
              <w:tabs>
                <w:tab w:val="right" w:pos="567"/>
              </w:tabs>
              <w:bidi/>
              <w:jc w:val="center"/>
              <w:rPr>
                <w:rFonts w:ascii="Traditional Arabic" w:hAnsi="Traditional Arabic" w:cs="Traditional Arabic"/>
                <w:sz w:val="24"/>
                <w:szCs w:val="24"/>
                <w:rtl/>
              </w:rPr>
            </w:pPr>
            <w:r w:rsidRPr="00B17C6B">
              <w:rPr>
                <w:rFonts w:ascii="Traditional Arabic" w:hAnsi="Traditional Arabic" w:cs="Traditional Arabic" w:hint="cs"/>
                <w:sz w:val="24"/>
                <w:szCs w:val="24"/>
                <w:rtl/>
              </w:rPr>
              <w:t>2000</w:t>
            </w:r>
          </w:p>
        </w:tc>
        <w:tc>
          <w:tcPr>
            <w:tcW w:w="1120" w:type="dxa"/>
            <w:vAlign w:val="center"/>
          </w:tcPr>
          <w:p w:rsidR="00F75176" w:rsidRPr="00B17C6B" w:rsidRDefault="00F75176" w:rsidP="00F75176">
            <w:pPr>
              <w:tabs>
                <w:tab w:val="right" w:pos="567"/>
              </w:tabs>
              <w:bidi/>
              <w:jc w:val="center"/>
              <w:rPr>
                <w:rFonts w:ascii="Traditional Arabic" w:hAnsi="Traditional Arabic" w:cs="Traditional Arabic"/>
                <w:sz w:val="24"/>
                <w:szCs w:val="24"/>
                <w:rtl/>
              </w:rPr>
            </w:pPr>
            <w:r w:rsidRPr="00B17C6B">
              <w:rPr>
                <w:rFonts w:ascii="Traditional Arabic" w:hAnsi="Traditional Arabic" w:cs="Traditional Arabic" w:hint="cs"/>
                <w:sz w:val="24"/>
                <w:szCs w:val="24"/>
                <w:rtl/>
              </w:rPr>
              <w:t>2001</w:t>
            </w:r>
          </w:p>
        </w:tc>
        <w:tc>
          <w:tcPr>
            <w:tcW w:w="1096" w:type="dxa"/>
            <w:vAlign w:val="center"/>
          </w:tcPr>
          <w:p w:rsidR="00F75176" w:rsidRPr="00B17C6B" w:rsidRDefault="00F75176" w:rsidP="00F75176">
            <w:pPr>
              <w:tabs>
                <w:tab w:val="right" w:pos="567"/>
              </w:tabs>
              <w:bidi/>
              <w:jc w:val="center"/>
              <w:rPr>
                <w:rFonts w:ascii="Traditional Arabic" w:hAnsi="Traditional Arabic" w:cs="Traditional Arabic"/>
                <w:sz w:val="24"/>
                <w:szCs w:val="24"/>
                <w:rtl/>
              </w:rPr>
            </w:pPr>
            <w:r w:rsidRPr="00B17C6B">
              <w:rPr>
                <w:rFonts w:ascii="Traditional Arabic" w:hAnsi="Traditional Arabic" w:cs="Traditional Arabic" w:hint="cs"/>
                <w:sz w:val="24"/>
                <w:szCs w:val="24"/>
                <w:rtl/>
              </w:rPr>
              <w:t>2002</w:t>
            </w:r>
          </w:p>
        </w:tc>
        <w:tc>
          <w:tcPr>
            <w:tcW w:w="1097" w:type="dxa"/>
            <w:vAlign w:val="center"/>
          </w:tcPr>
          <w:p w:rsidR="00F75176" w:rsidRPr="00B17C6B" w:rsidRDefault="00F75176" w:rsidP="00F75176">
            <w:pPr>
              <w:tabs>
                <w:tab w:val="right" w:pos="567"/>
              </w:tabs>
              <w:bidi/>
              <w:jc w:val="center"/>
              <w:rPr>
                <w:rFonts w:ascii="Traditional Arabic" w:hAnsi="Traditional Arabic" w:cs="Traditional Arabic"/>
                <w:sz w:val="24"/>
                <w:szCs w:val="24"/>
                <w:rtl/>
              </w:rPr>
            </w:pPr>
            <w:r w:rsidRPr="00B17C6B">
              <w:rPr>
                <w:rFonts w:ascii="Traditional Arabic" w:hAnsi="Traditional Arabic" w:cs="Traditional Arabic" w:hint="cs"/>
                <w:sz w:val="24"/>
                <w:szCs w:val="24"/>
                <w:rtl/>
              </w:rPr>
              <w:t>2003</w:t>
            </w:r>
          </w:p>
        </w:tc>
        <w:tc>
          <w:tcPr>
            <w:tcW w:w="1120" w:type="dxa"/>
            <w:vAlign w:val="center"/>
          </w:tcPr>
          <w:p w:rsidR="00F75176" w:rsidRPr="00B17C6B" w:rsidRDefault="00F75176" w:rsidP="00F75176">
            <w:pPr>
              <w:tabs>
                <w:tab w:val="right" w:pos="567"/>
              </w:tabs>
              <w:bidi/>
              <w:jc w:val="center"/>
              <w:rPr>
                <w:rFonts w:ascii="Traditional Arabic" w:hAnsi="Traditional Arabic" w:cs="Traditional Arabic"/>
                <w:sz w:val="24"/>
                <w:szCs w:val="24"/>
                <w:rtl/>
              </w:rPr>
            </w:pPr>
            <w:r w:rsidRPr="00B17C6B">
              <w:rPr>
                <w:rFonts w:ascii="Traditional Arabic" w:hAnsi="Traditional Arabic" w:cs="Traditional Arabic" w:hint="cs"/>
                <w:sz w:val="24"/>
                <w:szCs w:val="24"/>
                <w:rtl/>
              </w:rPr>
              <w:t>2004</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2005</w:t>
            </w:r>
          </w:p>
        </w:tc>
      </w:tr>
      <w:tr w:rsidR="00F75176" w:rsidTr="00762933">
        <w:trPr>
          <w:trHeight w:val="267"/>
        </w:trPr>
        <w:tc>
          <w:tcPr>
            <w:tcW w:w="2365" w:type="dxa"/>
          </w:tcPr>
          <w:p w:rsidR="00F75176" w:rsidRPr="00D84B02" w:rsidRDefault="00F75176" w:rsidP="007D4467">
            <w:pPr>
              <w:tabs>
                <w:tab w:val="right" w:pos="567"/>
              </w:tabs>
              <w:bidi/>
              <w:rPr>
                <w:rFonts w:ascii="Traditional Arabic" w:hAnsi="Traditional Arabic" w:cs="Traditional Arabic"/>
                <w:sz w:val="28"/>
                <w:szCs w:val="28"/>
                <w:rtl/>
              </w:rPr>
            </w:pPr>
            <w:r w:rsidRPr="00D84B02">
              <w:rPr>
                <w:rFonts w:ascii="Traditional Arabic" w:hAnsi="Traditional Arabic" w:cs="Traditional Arabic" w:hint="cs"/>
                <w:sz w:val="28"/>
                <w:szCs w:val="28"/>
                <w:rtl/>
              </w:rPr>
              <w:t>الاستثمار الأجنبي المباشر</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sidRPr="00BD14F1">
              <w:rPr>
                <w:rFonts w:ascii="Traditional Arabic" w:hAnsi="Traditional Arabic" w:cs="Traditional Arabic" w:hint="cs"/>
                <w:sz w:val="24"/>
                <w:szCs w:val="24"/>
                <w:rtl/>
              </w:rPr>
              <w:t>438</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sidRPr="00BD14F1">
              <w:rPr>
                <w:rFonts w:ascii="Traditional Arabic" w:hAnsi="Traditional Arabic" w:cs="Traditional Arabic" w:hint="cs"/>
                <w:sz w:val="24"/>
                <w:szCs w:val="24"/>
                <w:rtl/>
              </w:rPr>
              <w:t>1196</w:t>
            </w:r>
          </w:p>
        </w:tc>
        <w:tc>
          <w:tcPr>
            <w:tcW w:w="1096"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hint="cs"/>
                <w:sz w:val="24"/>
                <w:szCs w:val="24"/>
                <w:rtl/>
              </w:rPr>
              <w:t>1065</w:t>
            </w:r>
          </w:p>
        </w:tc>
        <w:tc>
          <w:tcPr>
            <w:tcW w:w="1097"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hint="cs"/>
                <w:sz w:val="24"/>
                <w:szCs w:val="24"/>
                <w:rtl/>
              </w:rPr>
              <w:t>634</w:t>
            </w:r>
          </w:p>
        </w:tc>
        <w:tc>
          <w:tcPr>
            <w:tcW w:w="1120" w:type="dxa"/>
            <w:tcBorders>
              <w:bottom w:val="single" w:sz="4" w:space="0" w:color="000000" w:themeColor="text1"/>
            </w:tcBorders>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hint="cs"/>
                <w:sz w:val="24"/>
                <w:szCs w:val="24"/>
                <w:rtl/>
              </w:rPr>
              <w:t>882</w:t>
            </w:r>
          </w:p>
        </w:tc>
        <w:tc>
          <w:tcPr>
            <w:tcW w:w="1120" w:type="dxa"/>
            <w:tcBorders>
              <w:bottom w:val="single" w:sz="4" w:space="0" w:color="000000" w:themeColor="text1"/>
            </w:tcBorders>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1081</w:t>
            </w:r>
          </w:p>
        </w:tc>
      </w:tr>
      <w:tr w:rsidR="00F75176" w:rsidTr="00762933">
        <w:trPr>
          <w:trHeight w:val="284"/>
        </w:trPr>
        <w:tc>
          <w:tcPr>
            <w:tcW w:w="2365" w:type="dxa"/>
          </w:tcPr>
          <w:p w:rsidR="00F75176" w:rsidRPr="00D84B02" w:rsidRDefault="00F75176" w:rsidP="007D4467">
            <w:pPr>
              <w:tabs>
                <w:tab w:val="right" w:pos="567"/>
              </w:tabs>
              <w:bidi/>
              <w:rPr>
                <w:rFonts w:ascii="Traditional Arabic" w:hAnsi="Traditional Arabic" w:cs="Traditional Arabic"/>
                <w:sz w:val="28"/>
                <w:szCs w:val="28"/>
                <w:rtl/>
              </w:rPr>
            </w:pPr>
            <w:r w:rsidRPr="00D84B02">
              <w:rPr>
                <w:rFonts w:ascii="Traditional Arabic" w:hAnsi="Traditional Arabic" w:cs="Traditional Arabic" w:hint="cs"/>
                <w:sz w:val="28"/>
                <w:szCs w:val="28"/>
                <w:rtl/>
              </w:rPr>
              <w:t>السنة</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2006</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2007</w:t>
            </w:r>
          </w:p>
        </w:tc>
        <w:tc>
          <w:tcPr>
            <w:tcW w:w="1096"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2008</w:t>
            </w:r>
          </w:p>
        </w:tc>
        <w:tc>
          <w:tcPr>
            <w:tcW w:w="1097" w:type="dxa"/>
            <w:vAlign w:val="center"/>
          </w:tcPr>
          <w:p w:rsidR="00F75176" w:rsidRPr="00B17C6B" w:rsidRDefault="00F75176" w:rsidP="00F75176">
            <w:pPr>
              <w:tabs>
                <w:tab w:val="right" w:pos="567"/>
              </w:tabs>
              <w:bidi/>
              <w:jc w:val="center"/>
              <w:rPr>
                <w:rFonts w:ascii="Traditional Arabic" w:hAnsi="Traditional Arabic" w:cs="Traditional Arabic"/>
                <w:sz w:val="26"/>
                <w:szCs w:val="26"/>
                <w:rtl/>
              </w:rPr>
            </w:pPr>
            <w:r w:rsidRPr="00B17C6B">
              <w:rPr>
                <w:rFonts w:ascii="Traditional Arabic" w:hAnsi="Traditional Arabic" w:cs="Traditional Arabic" w:hint="cs"/>
                <w:sz w:val="26"/>
                <w:szCs w:val="26"/>
                <w:rtl/>
              </w:rPr>
              <w:t>المجموع</w:t>
            </w:r>
          </w:p>
        </w:tc>
        <w:tc>
          <w:tcPr>
            <w:tcW w:w="1120" w:type="dxa"/>
            <w:tcBorders>
              <w:bottom w:val="nil"/>
              <w:right w:val="nil"/>
            </w:tcBorders>
            <w:vAlign w:val="center"/>
          </w:tcPr>
          <w:p w:rsidR="00F75176" w:rsidRPr="00B17C6B" w:rsidRDefault="00F75176" w:rsidP="00F75176">
            <w:pPr>
              <w:tabs>
                <w:tab w:val="right" w:pos="567"/>
              </w:tabs>
              <w:bidi/>
              <w:jc w:val="center"/>
              <w:rPr>
                <w:rFonts w:ascii="Traditional Arabic" w:hAnsi="Traditional Arabic" w:cs="Traditional Arabic"/>
                <w:sz w:val="26"/>
                <w:szCs w:val="26"/>
                <w:rtl/>
              </w:rPr>
            </w:pPr>
          </w:p>
        </w:tc>
        <w:tc>
          <w:tcPr>
            <w:tcW w:w="1120" w:type="dxa"/>
            <w:tcBorders>
              <w:left w:val="nil"/>
              <w:bottom w:val="nil"/>
              <w:right w:val="nil"/>
            </w:tcBorders>
          </w:tcPr>
          <w:p w:rsidR="00F75176" w:rsidRPr="00B17C6B" w:rsidRDefault="00F75176" w:rsidP="00F75176">
            <w:pPr>
              <w:tabs>
                <w:tab w:val="right" w:pos="567"/>
              </w:tabs>
              <w:bidi/>
              <w:jc w:val="center"/>
              <w:rPr>
                <w:rFonts w:ascii="Traditional Arabic" w:hAnsi="Traditional Arabic" w:cs="Traditional Arabic"/>
                <w:sz w:val="26"/>
                <w:szCs w:val="26"/>
                <w:rtl/>
              </w:rPr>
            </w:pPr>
          </w:p>
        </w:tc>
      </w:tr>
      <w:tr w:rsidR="00F75176" w:rsidTr="00762933">
        <w:trPr>
          <w:trHeight w:val="301"/>
        </w:trPr>
        <w:tc>
          <w:tcPr>
            <w:tcW w:w="2365" w:type="dxa"/>
          </w:tcPr>
          <w:p w:rsidR="00F75176" w:rsidRPr="00D84B02" w:rsidRDefault="00F75176" w:rsidP="007D4467">
            <w:pPr>
              <w:tabs>
                <w:tab w:val="right" w:pos="567"/>
              </w:tabs>
              <w:bidi/>
              <w:rPr>
                <w:rFonts w:ascii="Traditional Arabic" w:hAnsi="Traditional Arabic" w:cs="Traditional Arabic"/>
                <w:sz w:val="28"/>
                <w:szCs w:val="28"/>
                <w:rtl/>
              </w:rPr>
            </w:pPr>
            <w:r w:rsidRPr="00D84B02">
              <w:rPr>
                <w:rFonts w:ascii="Traditional Arabic" w:hAnsi="Traditional Arabic" w:cs="Traditional Arabic" w:hint="cs"/>
                <w:sz w:val="28"/>
                <w:szCs w:val="28"/>
                <w:rtl/>
              </w:rPr>
              <w:t>الاستثمار الأجنبي المباشر</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hint="cs"/>
                <w:sz w:val="24"/>
                <w:szCs w:val="24"/>
                <w:rtl/>
              </w:rPr>
              <w:t>1795</w:t>
            </w:r>
          </w:p>
        </w:tc>
        <w:tc>
          <w:tcPr>
            <w:tcW w:w="1120"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1662</w:t>
            </w:r>
          </w:p>
        </w:tc>
        <w:tc>
          <w:tcPr>
            <w:tcW w:w="1096"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2646</w:t>
            </w:r>
          </w:p>
        </w:tc>
        <w:tc>
          <w:tcPr>
            <w:tcW w:w="1097" w:type="dxa"/>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r>
              <w:rPr>
                <w:rFonts w:ascii="Traditional Arabic" w:hAnsi="Traditional Arabic" w:cs="Traditional Arabic"/>
                <w:sz w:val="24"/>
                <w:szCs w:val="24"/>
              </w:rPr>
              <w:t>11399</w:t>
            </w:r>
          </w:p>
        </w:tc>
        <w:tc>
          <w:tcPr>
            <w:tcW w:w="1120" w:type="dxa"/>
            <w:tcBorders>
              <w:top w:val="nil"/>
              <w:bottom w:val="nil"/>
              <w:right w:val="nil"/>
            </w:tcBorders>
            <w:vAlign w:val="center"/>
          </w:tcPr>
          <w:p w:rsidR="00F75176" w:rsidRPr="00BD14F1" w:rsidRDefault="00F75176" w:rsidP="00F75176">
            <w:pPr>
              <w:tabs>
                <w:tab w:val="right" w:pos="567"/>
              </w:tabs>
              <w:bidi/>
              <w:jc w:val="center"/>
              <w:rPr>
                <w:rFonts w:ascii="Traditional Arabic" w:hAnsi="Traditional Arabic" w:cs="Traditional Arabic"/>
                <w:sz w:val="24"/>
                <w:szCs w:val="24"/>
                <w:rtl/>
              </w:rPr>
            </w:pPr>
          </w:p>
        </w:tc>
        <w:tc>
          <w:tcPr>
            <w:tcW w:w="1120" w:type="dxa"/>
            <w:tcBorders>
              <w:top w:val="nil"/>
              <w:left w:val="nil"/>
              <w:bottom w:val="nil"/>
              <w:right w:val="nil"/>
            </w:tcBorders>
          </w:tcPr>
          <w:p w:rsidR="00F75176" w:rsidRDefault="00F75176" w:rsidP="00F75176">
            <w:pPr>
              <w:tabs>
                <w:tab w:val="right" w:pos="567"/>
              </w:tabs>
              <w:bidi/>
              <w:jc w:val="center"/>
              <w:rPr>
                <w:rFonts w:ascii="Traditional Arabic" w:hAnsi="Traditional Arabic" w:cs="Traditional Arabic"/>
                <w:sz w:val="24"/>
                <w:szCs w:val="24"/>
              </w:rPr>
            </w:pPr>
          </w:p>
        </w:tc>
      </w:tr>
    </w:tbl>
    <w:p w:rsidR="00E02F1E" w:rsidRPr="00D84B02" w:rsidRDefault="0067339C" w:rsidP="0067339C">
      <w:pPr>
        <w:tabs>
          <w:tab w:val="left" w:pos="709"/>
          <w:tab w:val="left" w:pos="851"/>
          <w:tab w:val="right" w:pos="9072"/>
        </w:tabs>
        <w:spacing w:after="0"/>
        <w:rPr>
          <w:rFonts w:asciiTheme="majorBidi" w:hAnsiTheme="majorBidi" w:cstheme="majorBidi"/>
          <w:sz w:val="20"/>
          <w:szCs w:val="20"/>
          <w:lang w:val="en-US" w:bidi="ar-EG"/>
        </w:rPr>
      </w:pPr>
      <w:r>
        <w:rPr>
          <w:rFonts w:asciiTheme="majorBidi" w:hAnsiTheme="majorBidi" w:cstheme="majorBidi"/>
          <w:lang w:val="en-US"/>
        </w:rPr>
        <w:t xml:space="preserve">  </w:t>
      </w:r>
      <w:r w:rsidR="00C83DCD" w:rsidRPr="00D84B02">
        <w:rPr>
          <w:rFonts w:asciiTheme="majorBidi" w:hAnsiTheme="majorBidi" w:cstheme="majorBidi"/>
          <w:lang w:val="en-US"/>
        </w:rPr>
        <w:t xml:space="preserve"> </w:t>
      </w:r>
      <w:r w:rsidR="00C83DCD" w:rsidRPr="00D84B02">
        <w:rPr>
          <w:rFonts w:asciiTheme="majorBidi" w:hAnsiTheme="majorBidi" w:cstheme="majorBidi"/>
          <w:sz w:val="20"/>
          <w:szCs w:val="20"/>
          <w:lang w:val="en-US" w:bidi="ar-EG"/>
        </w:rPr>
        <w:t>Source : World Investment Report 2009</w:t>
      </w:r>
      <w:r w:rsidR="002545D6" w:rsidRPr="00D84B02">
        <w:rPr>
          <w:rFonts w:asciiTheme="majorBidi" w:hAnsiTheme="majorBidi" w:cstheme="majorBidi"/>
          <w:sz w:val="20"/>
          <w:szCs w:val="20"/>
          <w:lang w:val="en-US" w:bidi="ar-EG"/>
        </w:rPr>
        <w:t>,</w:t>
      </w:r>
      <w:r w:rsidR="001C424C" w:rsidRPr="00D84B02">
        <w:rPr>
          <w:rFonts w:asciiTheme="majorBidi" w:hAnsiTheme="majorBidi" w:cstheme="majorBidi"/>
          <w:sz w:val="20"/>
          <w:szCs w:val="20"/>
          <w:lang w:val="en-US" w:bidi="ar-EG"/>
        </w:rPr>
        <w:t>op.cit,</w:t>
      </w:r>
      <w:r w:rsidR="002545D6" w:rsidRPr="00D84B02">
        <w:rPr>
          <w:rFonts w:asciiTheme="majorBidi" w:hAnsiTheme="majorBidi" w:cstheme="majorBidi"/>
          <w:sz w:val="20"/>
          <w:szCs w:val="20"/>
          <w:lang w:val="en-US" w:bidi="ar-EG"/>
        </w:rPr>
        <w:t xml:space="preserve"> p247.  </w:t>
      </w:r>
    </w:p>
    <w:p w:rsidR="009E0086" w:rsidRPr="00D84B02" w:rsidRDefault="009E0086" w:rsidP="0067339C">
      <w:pPr>
        <w:tabs>
          <w:tab w:val="left" w:pos="851"/>
          <w:tab w:val="right" w:pos="9072"/>
        </w:tabs>
        <w:spacing w:after="0"/>
        <w:ind w:left="851"/>
        <w:jc w:val="both"/>
        <w:rPr>
          <w:rFonts w:asciiTheme="majorBidi" w:hAnsiTheme="majorBidi" w:cstheme="majorBidi"/>
          <w:sz w:val="20"/>
          <w:szCs w:val="20"/>
          <w:lang w:val="en-US" w:bidi="ar-EG"/>
        </w:rPr>
      </w:pPr>
      <w:r w:rsidRPr="00D84B02">
        <w:rPr>
          <w:rFonts w:asciiTheme="majorBidi" w:hAnsiTheme="majorBidi" w:cstheme="majorBidi"/>
          <w:sz w:val="20"/>
          <w:szCs w:val="20"/>
          <w:lang w:val="en-US" w:bidi="ar-EG"/>
        </w:rPr>
        <w:t>World Investment Report</w:t>
      </w:r>
      <w:r w:rsidR="00C92D38" w:rsidRPr="00D84B02">
        <w:rPr>
          <w:rFonts w:asciiTheme="majorBidi" w:hAnsiTheme="majorBidi" w:cstheme="majorBidi"/>
          <w:sz w:val="20"/>
          <w:szCs w:val="20"/>
          <w:rtl/>
          <w:lang w:bidi="ar-EG"/>
        </w:rPr>
        <w:t xml:space="preserve"> </w:t>
      </w:r>
      <w:r w:rsidR="00FE17D6" w:rsidRPr="00D84B02">
        <w:rPr>
          <w:rFonts w:asciiTheme="majorBidi" w:hAnsiTheme="majorBidi" w:cstheme="majorBidi"/>
          <w:sz w:val="20"/>
          <w:szCs w:val="20"/>
          <w:lang w:val="en-US" w:bidi="ar-EG"/>
        </w:rPr>
        <w:t>2006</w:t>
      </w:r>
      <w:r w:rsidR="00317708" w:rsidRPr="00D84B02">
        <w:rPr>
          <w:rFonts w:asciiTheme="majorBidi" w:hAnsiTheme="majorBidi" w:cstheme="majorBidi"/>
          <w:sz w:val="20"/>
          <w:szCs w:val="20"/>
          <w:lang w:val="en-US" w:bidi="ar-EG"/>
        </w:rPr>
        <w:t>,</w:t>
      </w:r>
      <w:r w:rsidR="00174A2F" w:rsidRPr="00D84B02">
        <w:rPr>
          <w:rFonts w:asciiTheme="majorBidi" w:hAnsiTheme="majorBidi" w:cstheme="majorBidi"/>
          <w:sz w:val="20"/>
          <w:szCs w:val="20"/>
          <w:lang w:val="en-US" w:bidi="ar-EG"/>
        </w:rPr>
        <w:t xml:space="preserve"> </w:t>
      </w:r>
      <w:r w:rsidR="00B23577" w:rsidRPr="00D84B02">
        <w:rPr>
          <w:rFonts w:asciiTheme="majorBidi" w:hAnsiTheme="majorBidi" w:cstheme="majorBidi"/>
          <w:sz w:val="20"/>
          <w:szCs w:val="20"/>
          <w:lang w:val="en-US" w:bidi="ar-EG"/>
        </w:rPr>
        <w:t>FDI from developing and transit</w:t>
      </w:r>
      <w:r w:rsidR="00D84B02">
        <w:rPr>
          <w:rFonts w:asciiTheme="majorBidi" w:hAnsiTheme="majorBidi" w:cstheme="majorBidi"/>
          <w:sz w:val="20"/>
          <w:szCs w:val="20"/>
          <w:lang w:val="en-US" w:bidi="ar-EG"/>
        </w:rPr>
        <w:t xml:space="preserve">ion economies, implications for </w:t>
      </w:r>
      <w:r w:rsidR="0067339C">
        <w:rPr>
          <w:rFonts w:asciiTheme="majorBidi" w:hAnsiTheme="majorBidi" w:cstheme="majorBidi"/>
          <w:sz w:val="20"/>
          <w:szCs w:val="20"/>
          <w:lang w:val="en-US" w:bidi="ar-EG"/>
        </w:rPr>
        <w:t xml:space="preserve"> </w:t>
      </w:r>
      <w:r w:rsidR="00B23577" w:rsidRPr="00D84B02">
        <w:rPr>
          <w:rFonts w:asciiTheme="majorBidi" w:hAnsiTheme="majorBidi" w:cstheme="majorBidi"/>
          <w:sz w:val="20"/>
          <w:szCs w:val="20"/>
          <w:lang w:val="en-US" w:bidi="ar-EG"/>
        </w:rPr>
        <w:t xml:space="preserve">development, United Nations, New York and Geneva, 2006, P 299.  </w:t>
      </w:r>
    </w:p>
    <w:p w:rsidR="00317708" w:rsidRPr="00D84B02" w:rsidRDefault="00FE17D6" w:rsidP="0067339C">
      <w:pPr>
        <w:tabs>
          <w:tab w:val="left" w:pos="851"/>
          <w:tab w:val="right" w:pos="9072"/>
        </w:tabs>
        <w:spacing w:after="0"/>
        <w:ind w:left="851"/>
        <w:jc w:val="both"/>
        <w:rPr>
          <w:rFonts w:asciiTheme="majorBidi" w:hAnsiTheme="majorBidi" w:cstheme="majorBidi"/>
          <w:sz w:val="20"/>
          <w:szCs w:val="20"/>
          <w:lang w:val="en-US" w:bidi="ar-EG"/>
        </w:rPr>
      </w:pPr>
      <w:r w:rsidRPr="00D84B02">
        <w:rPr>
          <w:rFonts w:asciiTheme="majorBidi" w:hAnsiTheme="majorBidi" w:cstheme="majorBidi"/>
          <w:sz w:val="20"/>
          <w:szCs w:val="20"/>
          <w:lang w:val="en-US" w:bidi="ar-EG"/>
        </w:rPr>
        <w:t>World Investment Report</w:t>
      </w:r>
      <w:r w:rsidRPr="00D84B02">
        <w:rPr>
          <w:rFonts w:asciiTheme="majorBidi" w:hAnsiTheme="majorBidi" w:cstheme="majorBidi"/>
          <w:sz w:val="20"/>
          <w:szCs w:val="20"/>
          <w:rtl/>
          <w:lang w:bidi="ar-EG"/>
        </w:rPr>
        <w:t xml:space="preserve"> </w:t>
      </w:r>
      <w:r w:rsidRPr="00D84B02">
        <w:rPr>
          <w:rFonts w:asciiTheme="majorBidi" w:hAnsiTheme="majorBidi" w:cstheme="majorBidi"/>
          <w:sz w:val="20"/>
          <w:szCs w:val="20"/>
          <w:lang w:val="en-US" w:bidi="ar-EG"/>
        </w:rPr>
        <w:t>200</w:t>
      </w:r>
      <w:r w:rsidR="008067F8" w:rsidRPr="00D84B02">
        <w:rPr>
          <w:rFonts w:asciiTheme="majorBidi" w:hAnsiTheme="majorBidi" w:cstheme="majorBidi"/>
          <w:sz w:val="20"/>
          <w:szCs w:val="20"/>
          <w:lang w:val="en-US" w:bidi="ar-EG"/>
        </w:rPr>
        <w:t>3</w:t>
      </w:r>
      <w:r w:rsidR="00317708" w:rsidRPr="00D84B02">
        <w:rPr>
          <w:rFonts w:asciiTheme="majorBidi" w:hAnsiTheme="majorBidi" w:cstheme="majorBidi"/>
          <w:sz w:val="20"/>
          <w:szCs w:val="20"/>
          <w:lang w:val="en-US" w:bidi="ar-EG"/>
        </w:rPr>
        <w:t>, FDI policies for development</w:t>
      </w:r>
      <w:r w:rsidR="00733ED6" w:rsidRPr="00D84B02">
        <w:rPr>
          <w:rFonts w:asciiTheme="majorBidi" w:hAnsiTheme="majorBidi" w:cstheme="majorBidi"/>
          <w:sz w:val="20"/>
          <w:szCs w:val="20"/>
          <w:lang w:val="en-US" w:bidi="ar-EG"/>
        </w:rPr>
        <w:t>,</w:t>
      </w:r>
      <w:r w:rsidR="00317708" w:rsidRPr="00D84B02">
        <w:rPr>
          <w:rFonts w:asciiTheme="majorBidi" w:hAnsiTheme="majorBidi" w:cstheme="majorBidi"/>
          <w:sz w:val="20"/>
          <w:szCs w:val="20"/>
          <w:lang w:val="en-US" w:bidi="ar-EG"/>
        </w:rPr>
        <w:t xml:space="preserve"> national and international perspectives</w:t>
      </w:r>
      <w:r w:rsidR="00733ED6" w:rsidRPr="00D84B02">
        <w:rPr>
          <w:rFonts w:asciiTheme="majorBidi" w:hAnsiTheme="majorBidi" w:cstheme="majorBidi"/>
          <w:sz w:val="20"/>
          <w:szCs w:val="20"/>
          <w:lang w:val="en-US" w:bidi="ar-EG"/>
        </w:rPr>
        <w:t>,</w:t>
      </w:r>
      <w:r w:rsidR="002C30BA" w:rsidRPr="00D84B02">
        <w:rPr>
          <w:rFonts w:asciiTheme="majorBidi" w:hAnsiTheme="majorBidi" w:cstheme="majorBidi"/>
          <w:sz w:val="20"/>
          <w:szCs w:val="20"/>
          <w:lang w:val="en-US" w:bidi="ar-EG"/>
        </w:rPr>
        <w:t xml:space="preserve"> </w:t>
      </w:r>
      <w:r w:rsidR="00733ED6" w:rsidRPr="00D84B02">
        <w:rPr>
          <w:rFonts w:asciiTheme="majorBidi" w:hAnsiTheme="majorBidi" w:cstheme="majorBidi"/>
          <w:sz w:val="20"/>
          <w:szCs w:val="20"/>
          <w:lang w:val="en-US" w:bidi="ar-EG"/>
        </w:rPr>
        <w:t xml:space="preserve"> United Nations, </w:t>
      </w:r>
      <w:r w:rsidR="004D0A6C" w:rsidRPr="00D84B02">
        <w:rPr>
          <w:rFonts w:asciiTheme="majorBidi" w:hAnsiTheme="majorBidi" w:cstheme="majorBidi"/>
          <w:sz w:val="20"/>
          <w:szCs w:val="20"/>
          <w:lang w:val="en-US" w:bidi="ar-EG"/>
        </w:rPr>
        <w:t>New York and Geneva, 2003</w:t>
      </w:r>
      <w:r w:rsidR="00B23577" w:rsidRPr="00D84B02">
        <w:rPr>
          <w:rFonts w:asciiTheme="majorBidi" w:hAnsiTheme="majorBidi" w:cstheme="majorBidi"/>
          <w:sz w:val="20"/>
          <w:szCs w:val="20"/>
          <w:lang w:val="en-US" w:bidi="ar-EG"/>
        </w:rPr>
        <w:t>, P</w:t>
      </w:r>
      <w:r w:rsidR="004D0A6C" w:rsidRPr="00D84B02">
        <w:rPr>
          <w:rFonts w:asciiTheme="majorBidi" w:hAnsiTheme="majorBidi" w:cstheme="majorBidi"/>
          <w:sz w:val="20"/>
          <w:szCs w:val="20"/>
          <w:lang w:val="en-US" w:bidi="ar-EG"/>
        </w:rPr>
        <w:t xml:space="preserve">249. </w:t>
      </w:r>
      <w:r w:rsidR="008067F8" w:rsidRPr="00D84B02">
        <w:rPr>
          <w:rFonts w:asciiTheme="majorBidi" w:hAnsiTheme="majorBidi" w:cstheme="majorBidi"/>
          <w:sz w:val="20"/>
          <w:szCs w:val="20"/>
          <w:lang w:val="en-US" w:bidi="ar-EG"/>
        </w:rPr>
        <w:t xml:space="preserve"> </w:t>
      </w:r>
    </w:p>
    <w:p w:rsidR="00B35CF7" w:rsidRPr="00A6119D" w:rsidRDefault="00B35CF7" w:rsidP="00C36BC8">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w:t>
      </w:r>
      <w:r w:rsidRPr="00A6119D">
        <w:rPr>
          <w:rFonts w:ascii="Traditional Arabic" w:hAnsi="Traditional Arabic" w:cs="Traditional Arabic" w:hint="cs"/>
          <w:sz w:val="32"/>
          <w:szCs w:val="32"/>
          <w:rtl/>
        </w:rPr>
        <w:t xml:space="preserve">الملاحظ أن الفترة </w:t>
      </w:r>
      <w:r w:rsidRPr="00A6119D">
        <w:rPr>
          <w:rFonts w:ascii="Traditional Arabic" w:hAnsi="Traditional Arabic" w:cs="Traditional Arabic" w:hint="cs"/>
          <w:sz w:val="24"/>
          <w:szCs w:val="24"/>
          <w:rtl/>
        </w:rPr>
        <w:t>2000-</w:t>
      </w:r>
      <w:r w:rsidR="00433D24">
        <w:rPr>
          <w:rFonts w:ascii="Traditional Arabic" w:hAnsi="Traditional Arabic" w:cs="Traditional Arabic"/>
          <w:sz w:val="24"/>
          <w:szCs w:val="24"/>
        </w:rPr>
        <w:t>2008</w:t>
      </w:r>
      <w:r w:rsidRPr="00A6119D">
        <w:rPr>
          <w:rFonts w:ascii="Traditional Arabic" w:hAnsi="Traditional Arabic" w:cs="Traditional Arabic" w:hint="cs"/>
          <w:sz w:val="24"/>
          <w:szCs w:val="24"/>
          <w:rtl/>
        </w:rPr>
        <w:t xml:space="preserve"> </w:t>
      </w:r>
      <w:r w:rsidRPr="00A6119D">
        <w:rPr>
          <w:rFonts w:ascii="Traditional Arabic" w:hAnsi="Traditional Arabic" w:cs="Traditional Arabic" w:hint="cs"/>
          <w:sz w:val="32"/>
          <w:szCs w:val="32"/>
          <w:rtl/>
        </w:rPr>
        <w:t xml:space="preserve">تميزت بارتفاع </w:t>
      </w:r>
      <w:r>
        <w:rPr>
          <w:rFonts w:ascii="Traditional Arabic" w:hAnsi="Traditional Arabic" w:cs="Traditional Arabic" w:hint="cs"/>
          <w:sz w:val="32"/>
          <w:szCs w:val="32"/>
          <w:rtl/>
        </w:rPr>
        <w:t>أسعار النفط إضافة إلى فتح مجال</w:t>
      </w:r>
      <w:r w:rsidRPr="00A6119D">
        <w:rPr>
          <w:rFonts w:ascii="Traditional Arabic" w:hAnsi="Traditional Arabic" w:cs="Traditional Arabic" w:hint="cs"/>
          <w:sz w:val="32"/>
          <w:szCs w:val="32"/>
          <w:rtl/>
        </w:rPr>
        <w:t xml:space="preserve"> استثمار</w:t>
      </w:r>
      <w:r>
        <w:rPr>
          <w:rFonts w:ascii="Traditional Arabic" w:hAnsi="Traditional Arabic" w:cs="Traditional Arabic" w:hint="cs"/>
          <w:sz w:val="32"/>
          <w:szCs w:val="32"/>
          <w:rtl/>
        </w:rPr>
        <w:t>ات</w:t>
      </w:r>
      <w:r w:rsidRPr="00A6119D">
        <w:rPr>
          <w:rFonts w:ascii="Traditional Arabic" w:hAnsi="Traditional Arabic" w:cs="Traditional Arabic" w:hint="cs"/>
          <w:sz w:val="32"/>
          <w:szCs w:val="32"/>
          <w:rtl/>
        </w:rPr>
        <w:t xml:space="preserve"> هامة كالاستثمار في قطاع المحروقات، الاتصالات، مشاريع البنى القاعدية، وهو ما يفسر هذا الإقبال المتوسط لرأس المال الأجنبي على الجزائر، </w:t>
      </w:r>
      <w:r>
        <w:rPr>
          <w:rFonts w:ascii="Traditional Arabic" w:hAnsi="Traditional Arabic" w:cs="Traditional Arabic" w:hint="cs"/>
          <w:sz w:val="32"/>
          <w:szCs w:val="32"/>
          <w:rtl/>
        </w:rPr>
        <w:t>والذي</w:t>
      </w:r>
      <w:r w:rsidRPr="00A6119D">
        <w:rPr>
          <w:rFonts w:ascii="Traditional Arabic" w:hAnsi="Traditional Arabic" w:cs="Traditional Arabic" w:hint="cs"/>
          <w:sz w:val="32"/>
          <w:szCs w:val="32"/>
          <w:rtl/>
        </w:rPr>
        <w:t xml:space="preserve"> يبقى محدودا مقارنة ببعض الدول العربية. فخلال سنة </w:t>
      </w:r>
      <w:r w:rsidR="006B5C21">
        <w:rPr>
          <w:rFonts w:ascii="Traditional Arabic" w:hAnsi="Traditional Arabic" w:cs="Traditional Arabic"/>
          <w:sz w:val="24"/>
          <w:szCs w:val="24"/>
        </w:rPr>
        <w:t>200</w:t>
      </w:r>
      <w:r w:rsidR="00B90240">
        <w:rPr>
          <w:rFonts w:ascii="Traditional Arabic" w:hAnsi="Traditional Arabic" w:cs="Traditional Arabic"/>
          <w:sz w:val="24"/>
          <w:szCs w:val="24"/>
        </w:rPr>
        <w:t>7</w:t>
      </w:r>
      <w:r w:rsidRPr="00A6119D">
        <w:rPr>
          <w:rFonts w:ascii="Traditional Arabic" w:hAnsi="Traditional Arabic" w:cs="Traditional Arabic" w:hint="cs"/>
          <w:sz w:val="32"/>
          <w:szCs w:val="32"/>
          <w:rtl/>
        </w:rPr>
        <w:t xml:space="preserve">، وفيما يخص استقطاب رؤوس الأموال الأجنبية المباشرة، احتلت الجزائر المرتبة </w:t>
      </w:r>
      <w:r w:rsidR="00B90240" w:rsidRPr="00B90240">
        <w:rPr>
          <w:rFonts w:ascii="Traditional Arabic" w:hAnsi="Traditional Arabic" w:cs="Traditional Arabic" w:hint="cs"/>
          <w:sz w:val="24"/>
          <w:szCs w:val="24"/>
          <w:rtl/>
        </w:rPr>
        <w:t>12</w:t>
      </w:r>
      <w:r w:rsidRPr="00B90240">
        <w:rPr>
          <w:rFonts w:ascii="Traditional Arabic" w:hAnsi="Traditional Arabic" w:cs="Traditional Arabic" w:hint="cs"/>
          <w:sz w:val="24"/>
          <w:szCs w:val="24"/>
          <w:rtl/>
        </w:rPr>
        <w:t xml:space="preserve"> </w:t>
      </w:r>
      <w:r w:rsidRPr="00A6119D">
        <w:rPr>
          <w:rFonts w:ascii="Traditional Arabic" w:hAnsi="Traditional Arabic" w:cs="Traditional Arabic" w:hint="cs"/>
          <w:sz w:val="32"/>
          <w:szCs w:val="32"/>
          <w:rtl/>
        </w:rPr>
        <w:t xml:space="preserve">ضمن </w:t>
      </w:r>
      <w:r w:rsidRPr="00A6119D">
        <w:rPr>
          <w:rFonts w:ascii="Traditional Arabic" w:hAnsi="Traditional Arabic" w:cs="Traditional Arabic" w:hint="cs"/>
          <w:sz w:val="24"/>
          <w:szCs w:val="24"/>
          <w:rtl/>
        </w:rPr>
        <w:t>1</w:t>
      </w:r>
      <w:r w:rsidR="00EF2B6C">
        <w:rPr>
          <w:rFonts w:ascii="Traditional Arabic" w:hAnsi="Traditional Arabic" w:cs="Traditional Arabic" w:hint="cs"/>
          <w:sz w:val="24"/>
          <w:szCs w:val="24"/>
          <w:rtl/>
        </w:rPr>
        <w:t>8</w:t>
      </w:r>
      <w:r w:rsidRPr="00A6119D">
        <w:rPr>
          <w:rFonts w:ascii="Traditional Arabic" w:hAnsi="Traditional Arabic" w:cs="Traditional Arabic" w:hint="cs"/>
          <w:sz w:val="24"/>
          <w:szCs w:val="24"/>
          <w:rtl/>
        </w:rPr>
        <w:t xml:space="preserve"> </w:t>
      </w:r>
      <w:r w:rsidRPr="00A6119D">
        <w:rPr>
          <w:rFonts w:ascii="Traditional Arabic" w:hAnsi="Traditional Arabic" w:cs="Traditional Arabic" w:hint="cs"/>
          <w:sz w:val="32"/>
          <w:szCs w:val="32"/>
          <w:rtl/>
        </w:rPr>
        <w:t xml:space="preserve">دولة عربية بحوالي </w:t>
      </w:r>
      <w:r w:rsidR="00EF2B6C">
        <w:rPr>
          <w:rFonts w:ascii="Traditional Arabic" w:hAnsi="Traditional Arabic" w:cs="Traditional Arabic" w:hint="cs"/>
          <w:sz w:val="24"/>
          <w:szCs w:val="24"/>
          <w:rtl/>
        </w:rPr>
        <w:t>1</w:t>
      </w:r>
      <w:r w:rsidRPr="00A6119D">
        <w:rPr>
          <w:rFonts w:ascii="Traditional Arabic" w:hAnsi="Traditional Arabic" w:cs="Traditional Arabic" w:hint="cs"/>
          <w:sz w:val="24"/>
          <w:szCs w:val="24"/>
          <w:rtl/>
        </w:rPr>
        <w:t>.</w:t>
      </w:r>
      <w:r w:rsidR="00EF2B6C">
        <w:rPr>
          <w:rFonts w:ascii="Traditional Arabic" w:hAnsi="Traditional Arabic" w:cs="Traditional Arabic" w:hint="cs"/>
          <w:sz w:val="24"/>
          <w:szCs w:val="24"/>
          <w:rtl/>
        </w:rPr>
        <w:t>66</w:t>
      </w:r>
      <w:r w:rsidRPr="00A6119D">
        <w:rPr>
          <w:rFonts w:ascii="Traditional Arabic" w:hAnsi="Traditional Arabic" w:cs="Traditional Arabic" w:hint="cs"/>
          <w:sz w:val="24"/>
          <w:szCs w:val="24"/>
          <w:rtl/>
        </w:rPr>
        <w:t xml:space="preserve"> </w:t>
      </w:r>
      <w:r w:rsidRPr="00A6119D">
        <w:rPr>
          <w:rFonts w:ascii="Traditional Arabic" w:hAnsi="Traditional Arabic" w:cs="Traditional Arabic" w:hint="cs"/>
          <w:sz w:val="32"/>
          <w:szCs w:val="32"/>
          <w:rtl/>
        </w:rPr>
        <w:t xml:space="preserve">مليار دولار، في حين استطاعت المملكة العربية السعودية استقطاب حوالي </w:t>
      </w:r>
      <w:r w:rsidR="00EF2B6C">
        <w:rPr>
          <w:rFonts w:ascii="Traditional Arabic" w:hAnsi="Traditional Arabic" w:cs="Traditional Arabic" w:hint="cs"/>
          <w:sz w:val="24"/>
          <w:szCs w:val="24"/>
          <w:rtl/>
        </w:rPr>
        <w:t>24.3</w:t>
      </w:r>
      <w:r w:rsidRPr="00A6119D">
        <w:rPr>
          <w:rFonts w:ascii="Traditional Arabic" w:hAnsi="Traditional Arabic" w:cs="Traditional Arabic" w:hint="cs"/>
          <w:sz w:val="32"/>
          <w:szCs w:val="32"/>
          <w:rtl/>
        </w:rPr>
        <w:t xml:space="preserve"> مليار دولار، وحصل</w:t>
      </w:r>
      <w:r w:rsidR="00EF2B6C">
        <w:rPr>
          <w:rFonts w:ascii="Traditional Arabic" w:hAnsi="Traditional Arabic" w:cs="Traditional Arabic" w:hint="cs"/>
          <w:sz w:val="32"/>
          <w:szCs w:val="32"/>
          <w:rtl/>
        </w:rPr>
        <w:t>ت</w:t>
      </w:r>
      <w:r w:rsidRPr="00A6119D">
        <w:rPr>
          <w:rFonts w:ascii="Traditional Arabic" w:hAnsi="Traditional Arabic" w:cs="Traditional Arabic" w:hint="cs"/>
          <w:sz w:val="32"/>
          <w:szCs w:val="32"/>
          <w:rtl/>
        </w:rPr>
        <w:t xml:space="preserve"> </w:t>
      </w:r>
      <w:r w:rsidR="00BD08BD">
        <w:rPr>
          <w:rFonts w:ascii="Traditional Arabic" w:hAnsi="Traditional Arabic" w:cs="Traditional Arabic" w:hint="cs"/>
          <w:sz w:val="32"/>
          <w:szCs w:val="32"/>
          <w:rtl/>
        </w:rPr>
        <w:t>الإمارات</w:t>
      </w:r>
      <w:r w:rsidR="00EF2B6C">
        <w:rPr>
          <w:rFonts w:ascii="Traditional Arabic" w:hAnsi="Traditional Arabic" w:cs="Traditional Arabic" w:hint="cs"/>
          <w:sz w:val="32"/>
          <w:szCs w:val="32"/>
          <w:rtl/>
        </w:rPr>
        <w:t xml:space="preserve"> العربية المتحدة</w:t>
      </w:r>
      <w:r w:rsidRPr="00A6119D">
        <w:rPr>
          <w:rFonts w:ascii="Traditional Arabic" w:hAnsi="Traditional Arabic" w:cs="Traditional Arabic" w:hint="cs"/>
          <w:sz w:val="32"/>
          <w:szCs w:val="32"/>
          <w:rtl/>
        </w:rPr>
        <w:t xml:space="preserve"> على </w:t>
      </w:r>
      <w:r w:rsidR="00EF2B6C">
        <w:rPr>
          <w:rFonts w:ascii="Traditional Arabic" w:hAnsi="Traditional Arabic" w:cs="Traditional Arabic" w:hint="cs"/>
          <w:sz w:val="24"/>
          <w:szCs w:val="24"/>
          <w:rtl/>
        </w:rPr>
        <w:t>1</w:t>
      </w:r>
      <w:r w:rsidR="00C36BC8">
        <w:rPr>
          <w:rFonts w:ascii="Traditional Arabic" w:hAnsi="Traditional Arabic" w:cs="Traditional Arabic" w:hint="cs"/>
          <w:sz w:val="24"/>
          <w:szCs w:val="24"/>
          <w:rtl/>
        </w:rPr>
        <w:t>4</w:t>
      </w:r>
      <w:r w:rsidR="00EF2B6C">
        <w:rPr>
          <w:rFonts w:ascii="Traditional Arabic" w:hAnsi="Traditional Arabic" w:cs="Traditional Arabic" w:hint="cs"/>
          <w:sz w:val="24"/>
          <w:szCs w:val="24"/>
          <w:rtl/>
        </w:rPr>
        <w:t>.</w:t>
      </w:r>
      <w:r w:rsidR="00C36BC8">
        <w:rPr>
          <w:rFonts w:ascii="Traditional Arabic" w:hAnsi="Traditional Arabic" w:cs="Traditional Arabic" w:hint="cs"/>
          <w:sz w:val="24"/>
          <w:szCs w:val="24"/>
          <w:rtl/>
        </w:rPr>
        <w:t>18</w:t>
      </w:r>
      <w:r w:rsidRPr="00A6119D">
        <w:rPr>
          <w:rFonts w:ascii="Traditional Arabic" w:hAnsi="Traditional Arabic" w:cs="Traditional Arabic" w:hint="cs"/>
          <w:sz w:val="32"/>
          <w:szCs w:val="32"/>
          <w:rtl/>
        </w:rPr>
        <w:t xml:space="preserve"> مليار دولار، أما </w:t>
      </w:r>
      <w:r w:rsidR="00EF2B6C">
        <w:rPr>
          <w:rFonts w:ascii="Traditional Arabic" w:hAnsi="Traditional Arabic" w:cs="Traditional Arabic" w:hint="cs"/>
          <w:sz w:val="32"/>
          <w:szCs w:val="32"/>
          <w:rtl/>
        </w:rPr>
        <w:t>مصر</w:t>
      </w:r>
      <w:r w:rsidR="00EF2B6C" w:rsidRPr="00A6119D">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فقد استفادت من </w:t>
      </w:r>
      <w:r w:rsidR="00EF2B6C">
        <w:rPr>
          <w:rFonts w:ascii="Traditional Arabic" w:hAnsi="Traditional Arabic" w:cs="Traditional Arabic" w:hint="cs"/>
          <w:sz w:val="24"/>
          <w:szCs w:val="24"/>
          <w:rtl/>
        </w:rPr>
        <w:t>11.57</w:t>
      </w:r>
      <w:r w:rsidR="00EF2B6C" w:rsidRPr="00A6119D">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مليار دولار. </w:t>
      </w:r>
      <w:r w:rsidR="00C36BC8">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 </w:t>
      </w:r>
      <w:r w:rsidR="00EF2B6C">
        <w:rPr>
          <w:rFonts w:ascii="Traditional Arabic" w:hAnsi="Traditional Arabic" w:cs="Traditional Arabic" w:hint="cs"/>
          <w:sz w:val="32"/>
          <w:szCs w:val="32"/>
          <w:rtl/>
        </w:rPr>
        <w:t xml:space="preserve"> </w:t>
      </w:r>
      <w:r w:rsidRPr="00A6119D">
        <w:rPr>
          <w:rFonts w:ascii="Traditional Arabic" w:hAnsi="Traditional Arabic" w:cs="Traditional Arabic" w:hint="cs"/>
          <w:sz w:val="32"/>
          <w:szCs w:val="32"/>
          <w:rtl/>
        </w:rPr>
        <w:t xml:space="preserve"> </w:t>
      </w:r>
    </w:p>
    <w:p w:rsidR="0082131A" w:rsidRPr="002B4C30" w:rsidRDefault="00B35CF7" w:rsidP="00B234F6">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w:t>
      </w:r>
      <w:r w:rsidRPr="00A6119D">
        <w:rPr>
          <w:rFonts w:ascii="Traditional Arabic" w:hAnsi="Traditional Arabic" w:cs="Traditional Arabic" w:hint="cs"/>
          <w:sz w:val="32"/>
          <w:szCs w:val="32"/>
          <w:rtl/>
        </w:rPr>
        <w:t xml:space="preserve">  إن الأزمة المالية العالمية وما نتج عنها من تقلص حجم القروض على المستوى العالمي ستؤدي إلى تناقص حجم رؤوس الأمو</w:t>
      </w:r>
      <w:r>
        <w:rPr>
          <w:rFonts w:ascii="Traditional Arabic" w:hAnsi="Traditional Arabic" w:cs="Traditional Arabic" w:hint="cs"/>
          <w:sz w:val="32"/>
          <w:szCs w:val="32"/>
          <w:rtl/>
        </w:rPr>
        <w:t xml:space="preserve">ال الأجنبية القادمة إلى الجزائر، فهذه الاستثمارات ستأخذ في </w:t>
      </w:r>
      <w:r w:rsidRPr="00A6119D">
        <w:rPr>
          <w:rFonts w:ascii="Traditional Arabic" w:hAnsi="Traditional Arabic" w:cs="Traditional Arabic" w:hint="cs"/>
          <w:sz w:val="32"/>
          <w:szCs w:val="32"/>
          <w:rtl/>
        </w:rPr>
        <w:t>الحسبان احتياطي الجزائر من العملات الأجنبية، لأنه الضمان الذي يضمن لها الحصول على مداخيلها في وقت يبقى ال</w:t>
      </w:r>
      <w:r>
        <w:rPr>
          <w:rFonts w:ascii="Traditional Arabic" w:hAnsi="Traditional Arabic" w:cs="Traditional Arabic" w:hint="cs"/>
          <w:sz w:val="32"/>
          <w:szCs w:val="32"/>
          <w:rtl/>
        </w:rPr>
        <w:t>دينار الجزائري غير قابل للتحويل،</w:t>
      </w:r>
      <w:r w:rsidRPr="00A6119D">
        <w:rPr>
          <w:rFonts w:ascii="Traditional Arabic" w:hAnsi="Traditional Arabic" w:cs="Traditional Arabic" w:hint="cs"/>
          <w:sz w:val="32"/>
          <w:szCs w:val="32"/>
          <w:rtl/>
        </w:rPr>
        <w:t xml:space="preserve"> وهكذا فهذه الظروف قد تؤثر في حجم رأس المال الأجنبي المستثمر في الجزائر.   </w:t>
      </w:r>
      <w:r>
        <w:rPr>
          <w:rFonts w:ascii="Traditional Arabic" w:hAnsi="Traditional Arabic" w:cs="Traditional Arabic" w:hint="cs"/>
          <w:sz w:val="32"/>
          <w:szCs w:val="32"/>
          <w:rtl/>
        </w:rPr>
        <w:t xml:space="preserve"> </w:t>
      </w:r>
    </w:p>
    <w:p w:rsidR="00965317" w:rsidRDefault="00965317" w:rsidP="00965317">
      <w:pPr>
        <w:bidi/>
        <w:spacing w:after="0"/>
        <w:jc w:val="both"/>
        <w:rPr>
          <w:rFonts w:ascii="Traditional Arabic" w:hAnsi="Traditional Arabic" w:cs="Traditional Arabic"/>
          <w:b/>
          <w:bCs/>
          <w:sz w:val="32"/>
          <w:szCs w:val="32"/>
          <w:rtl/>
          <w:lang w:bidi="ar-DZ"/>
        </w:rPr>
      </w:pPr>
      <w:r w:rsidRPr="00965317">
        <w:rPr>
          <w:rFonts w:ascii="Traditional Arabic" w:hAnsi="Traditional Arabic" w:cs="Traditional Arabic"/>
          <w:b/>
          <w:bCs/>
          <w:sz w:val="32"/>
          <w:szCs w:val="32"/>
          <w:rtl/>
          <w:lang w:bidi="ar-DZ"/>
        </w:rPr>
        <w:t xml:space="preserve">المبحث الخامس: </w:t>
      </w:r>
      <w:r w:rsidRPr="00965317">
        <w:rPr>
          <w:rFonts w:ascii="Traditional Arabic" w:hAnsi="Traditional Arabic" w:cs="Traditional Arabic" w:hint="cs"/>
          <w:b/>
          <w:bCs/>
          <w:sz w:val="32"/>
          <w:szCs w:val="32"/>
          <w:rtl/>
          <w:lang w:bidi="ar-DZ"/>
        </w:rPr>
        <w:t>آليات التنبؤ ومواجهة الأزمة المالية العالمية</w:t>
      </w:r>
      <w:r w:rsidR="00453CB1">
        <w:rPr>
          <w:rFonts w:ascii="Traditional Arabic" w:hAnsi="Traditional Arabic" w:cs="Traditional Arabic" w:hint="cs"/>
          <w:b/>
          <w:bCs/>
          <w:sz w:val="32"/>
          <w:szCs w:val="32"/>
          <w:rtl/>
          <w:lang w:bidi="ar-DZ"/>
        </w:rPr>
        <w:t xml:space="preserve">:   </w:t>
      </w:r>
      <w:r w:rsidRPr="00965317">
        <w:rPr>
          <w:rFonts w:ascii="Traditional Arabic" w:hAnsi="Traditional Arabic" w:cs="Traditional Arabic" w:hint="cs"/>
          <w:b/>
          <w:bCs/>
          <w:sz w:val="32"/>
          <w:szCs w:val="32"/>
          <w:rtl/>
          <w:lang w:bidi="ar-DZ"/>
        </w:rPr>
        <w:t xml:space="preserve">   </w:t>
      </w:r>
    </w:p>
    <w:p w:rsidR="00AD7946" w:rsidRPr="00AD7946" w:rsidRDefault="00AD7946" w:rsidP="00AD794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447A9A">
        <w:rPr>
          <w:rFonts w:ascii="Traditional Arabic" w:hAnsi="Traditional Arabic" w:cs="Traditional Arabic" w:hint="cs"/>
          <w:sz w:val="32"/>
          <w:szCs w:val="32"/>
          <w:rtl/>
          <w:lang w:bidi="ar-DZ"/>
        </w:rPr>
        <w:t xml:space="preserve">سنقوم من خلال هذا المبحث بالتطرق إلى نظام الإنذار المبكر، والذي هو من ابتكار صندوق النقد الدولي، حيث حاول من خلاله </w:t>
      </w:r>
      <w:r>
        <w:rPr>
          <w:rFonts w:ascii="Traditional Arabic" w:hAnsi="Traditional Arabic" w:cs="Traditional Arabic" w:hint="cs"/>
          <w:sz w:val="32"/>
          <w:szCs w:val="32"/>
          <w:rtl/>
          <w:lang w:bidi="ar-DZ"/>
        </w:rPr>
        <w:t>التنبؤ</w:t>
      </w:r>
      <w:r w:rsidRPr="00447A9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w:t>
      </w:r>
      <w:r w:rsidRPr="00447A9A">
        <w:rPr>
          <w:rFonts w:ascii="Traditional Arabic" w:hAnsi="Traditional Arabic" w:cs="Traditional Arabic" w:hint="cs"/>
          <w:sz w:val="32"/>
          <w:szCs w:val="32"/>
          <w:rtl/>
          <w:lang w:bidi="ar-DZ"/>
        </w:rPr>
        <w:t>نشوب الأزمات المالية قبل وقوعها</w:t>
      </w:r>
      <w:r>
        <w:rPr>
          <w:rFonts w:ascii="Traditional Arabic" w:hAnsi="Traditional Arabic" w:cs="Traditional Arabic" w:hint="cs"/>
          <w:sz w:val="32"/>
          <w:szCs w:val="32"/>
          <w:rtl/>
          <w:lang w:bidi="ar-DZ"/>
        </w:rPr>
        <w:t>،</w:t>
      </w:r>
      <w:r w:rsidRPr="00447A9A">
        <w:rPr>
          <w:rFonts w:ascii="Traditional Arabic" w:hAnsi="Traditional Arabic" w:cs="Traditional Arabic" w:hint="cs"/>
          <w:sz w:val="32"/>
          <w:szCs w:val="32"/>
          <w:rtl/>
          <w:lang w:bidi="ar-DZ"/>
        </w:rPr>
        <w:t xml:space="preserve"> تم نتناول بعد ذلك دور صندوق النقد الدولي في مواجهة الأزمة المالية العالمية. </w:t>
      </w:r>
      <w:r>
        <w:rPr>
          <w:rFonts w:ascii="Traditional Arabic" w:hAnsi="Traditional Arabic" w:cs="Traditional Arabic" w:hint="cs"/>
          <w:sz w:val="32"/>
          <w:szCs w:val="32"/>
          <w:rtl/>
          <w:lang w:bidi="ar-DZ"/>
        </w:rPr>
        <w:t xml:space="preserve">        </w:t>
      </w:r>
    </w:p>
    <w:p w:rsidR="00F86643" w:rsidRPr="00F86643" w:rsidRDefault="00F86643" w:rsidP="00965317">
      <w:pPr>
        <w:tabs>
          <w:tab w:val="left" w:pos="4214"/>
          <w:tab w:val="right" w:pos="7938"/>
        </w:tabs>
        <w:bidi/>
        <w:spacing w:after="0"/>
        <w:jc w:val="both"/>
        <w:rPr>
          <w:rFonts w:ascii="Traditional Arabic" w:hAnsi="Traditional Arabic" w:cs="Traditional Arabic"/>
          <w:b/>
          <w:bCs/>
          <w:sz w:val="32"/>
          <w:szCs w:val="32"/>
          <w:rtl/>
          <w:lang w:bidi="ar-DZ"/>
        </w:rPr>
      </w:pPr>
      <w:r w:rsidRPr="00F86643">
        <w:rPr>
          <w:rFonts w:ascii="Traditional Arabic" w:hAnsi="Traditional Arabic" w:cs="Traditional Arabic" w:hint="cs"/>
          <w:b/>
          <w:bCs/>
          <w:sz w:val="32"/>
          <w:szCs w:val="32"/>
          <w:rtl/>
          <w:lang w:bidi="ar-DZ"/>
        </w:rPr>
        <w:t xml:space="preserve">المطلب الأول: التنبؤ بالأزمات المالية ونظام الإنذار المبكر: </w:t>
      </w:r>
    </w:p>
    <w:p w:rsidR="00F86643" w:rsidRPr="00F86643" w:rsidRDefault="00F86643" w:rsidP="00965317">
      <w:pPr>
        <w:tabs>
          <w:tab w:val="left" w:pos="4214"/>
          <w:tab w:val="right" w:pos="7938"/>
        </w:tabs>
        <w:bidi/>
        <w:spacing w:after="0"/>
        <w:jc w:val="both"/>
        <w:rPr>
          <w:rFonts w:ascii="Traditional Arabic" w:hAnsi="Traditional Arabic" w:cs="Traditional Arabic"/>
          <w:b/>
          <w:bCs/>
          <w:sz w:val="32"/>
          <w:szCs w:val="32"/>
          <w:rtl/>
          <w:lang w:bidi="ar-DZ"/>
        </w:rPr>
      </w:pPr>
      <w:r w:rsidRPr="00F86643">
        <w:rPr>
          <w:rFonts w:ascii="Traditional Arabic" w:hAnsi="Traditional Arabic" w:cs="Traditional Arabic" w:hint="cs"/>
          <w:b/>
          <w:bCs/>
          <w:sz w:val="24"/>
          <w:szCs w:val="24"/>
          <w:rtl/>
          <w:lang w:bidi="ar-DZ"/>
        </w:rPr>
        <w:t xml:space="preserve">1- </w:t>
      </w:r>
      <w:r w:rsidRPr="00F86643">
        <w:rPr>
          <w:rFonts w:ascii="Traditional Arabic" w:hAnsi="Traditional Arabic" w:cs="Traditional Arabic" w:hint="cs"/>
          <w:b/>
          <w:bCs/>
          <w:sz w:val="32"/>
          <w:szCs w:val="32"/>
          <w:rtl/>
          <w:lang w:bidi="ar-DZ"/>
        </w:rPr>
        <w:t xml:space="preserve">دور أنظمة الإنذار المبكر في توقع الأزمة القادمة: </w:t>
      </w:r>
    </w:p>
    <w:p w:rsidR="00F86643" w:rsidRPr="00F86643" w:rsidRDefault="00F86643" w:rsidP="00F86643">
      <w:pPr>
        <w:tabs>
          <w:tab w:val="right" w:pos="565"/>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أشعل الاضطراب المالي الحالي من جديد اهتمام كل من صناع السياسة والجمهور عامة بنظ</w:t>
      </w:r>
      <w:r w:rsidR="00FA5C66">
        <w:rPr>
          <w:rFonts w:ascii="Traditional Arabic" w:hAnsi="Traditional Arabic" w:cs="Traditional Arabic" w:hint="cs"/>
          <w:sz w:val="32"/>
          <w:szCs w:val="32"/>
          <w:rtl/>
          <w:lang w:bidi="ar-DZ"/>
        </w:rPr>
        <w:t>ا</w:t>
      </w:r>
      <w:r w:rsidRPr="00F86643">
        <w:rPr>
          <w:rFonts w:ascii="Traditional Arabic" w:hAnsi="Traditional Arabic" w:cs="Traditional Arabic" w:hint="cs"/>
          <w:sz w:val="32"/>
          <w:szCs w:val="32"/>
          <w:rtl/>
          <w:lang w:bidi="ar-DZ"/>
        </w:rPr>
        <w:t xml:space="preserve">م الإنذار المبكر اللازم لتوقع الأزمات المالية في المستقبل. وتبين التجربة مع الأزمات الماضية أنها جد مكلفة بالنسبة للبلدان المتقدمة والناشئة على حد سواء، وعلى الرغم من أن كلا منها يختلف في التفاصيل فجميعها تقريبا تعكس التقاء بعض الأوجه الأساسية للتعرض للخطر الاقتصادي ولعامل محدد يطلق عنان الأزمة. وحيث أن وجه التعرض للخطر الأساسي هو عادة فقدان الائتمان أو أسعار الأصول، وعدم تجانس الميزانية العمومية (اقتراض مفرط من النقد الأجنبي، آجال استحقاق أقصر مما يجب، أو رسملة غير كافية)، فإن العامل الذي يطلق العنان للأزمة يمكن أن يكون أي حدث تقريبا، اضطراب سياسي، صدمات معدلات التبادل التجاري، العدوى من البلدان الأخرى، انهيار سوق الرهونات دون الممتازة إذا أخذنا مثالا من الأزمة الراهنة.   </w:t>
      </w:r>
    </w:p>
    <w:p w:rsidR="00F86643" w:rsidRPr="00F86643" w:rsidRDefault="00F86643" w:rsidP="00F86643">
      <w:pPr>
        <w:tabs>
          <w:tab w:val="right" w:pos="565"/>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ويؤدي تشخيص الأزمة إلى أنه إن حدث محدد ما أن أطلق العنان للأزمة لا يمكن التنبؤ به، فكذلك الأزمة لا يمكن توقعها. كما أن عدم القدرة على التوقع يجعل من الصعب لصناع السياسة من اتخاذ تدابير وقائية، لأنها يرجح أن تكون مكلفة اقتصاديا أو سي</w:t>
      </w:r>
      <w:r w:rsidR="00FD5B07">
        <w:rPr>
          <w:rFonts w:ascii="Traditional Arabic" w:hAnsi="Traditional Arabic" w:cs="Traditional Arabic" w:hint="cs"/>
          <w:sz w:val="32"/>
          <w:szCs w:val="32"/>
          <w:rtl/>
          <w:lang w:bidi="ar-DZ"/>
        </w:rPr>
        <w:t xml:space="preserve">اسيا، فجهود الإنذار المبكر </w:t>
      </w:r>
      <w:r w:rsidRPr="00F86643">
        <w:rPr>
          <w:rFonts w:ascii="Traditional Arabic" w:hAnsi="Traditional Arabic" w:cs="Traditional Arabic" w:hint="cs"/>
          <w:sz w:val="32"/>
          <w:szCs w:val="32"/>
          <w:rtl/>
          <w:lang w:bidi="ar-DZ"/>
        </w:rPr>
        <w:t xml:space="preserve">لا توجه كثيرا لمحاولة تسمية الأزمة القادمة بقدر ما توجه لتحديد أوجه التعرض للمخاطر الأساسية التي بدونها لا يحتمل أن تحدث الأزمة، ثم اعتماد السياسات اللازمة لعلاج أوجه الضعف.    </w:t>
      </w:r>
    </w:p>
    <w:p w:rsidR="00F86643" w:rsidRPr="00F86643" w:rsidRDefault="00F86643" w:rsidP="00F86643">
      <w:pPr>
        <w:tabs>
          <w:tab w:val="right" w:pos="567"/>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lastRenderedPageBreak/>
        <w:t xml:space="preserve">        في الوضع المثالي، يتعين أن يكشف نظام الإنذار المبكر عن أوجه الضعف مقدما وعلى نحو مقنع بقدر كاف بحيث يمكن اتخاذ تدابير التصحيح للوقاية حتى من خطر تطور الأزمة، فاكتشاف فقاعات أسعار الأصول الأولية، الحد من التعرض لمخاطر العملة الأجنبية غير المغطاة من قبل البنوك والمقترضين، الحد من الاستدانة لتحقيق الفاعلية المالية والمطالبة بنسب أعلى لرأس المال، كلها أمثلة لطرق تقليل تراكم أوجه التعرض للأزمة.  </w:t>
      </w:r>
    </w:p>
    <w:p w:rsidR="00F86643" w:rsidRPr="00F86643" w:rsidRDefault="00F86643" w:rsidP="00F86643">
      <w:pPr>
        <w:tabs>
          <w:tab w:val="right" w:pos="565"/>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لكن مثل هذه التدابير يصعب أن تحظى بالشعبية، ذلك أن ملاك البنوك يفضلوا أن يشهدوا زيادة سريعة في قيمة بيوتهم، وقد يستطيع المقترضون الاقتراض بالعملة الأجنبية بسعر أرخص، والمؤسسات المالية لا تريد الاحتفاظ بمزيد من رأس المال لأن ذلك يقوض ربحيتها. ولذلك، فإن المبرر الملزم باتخاذ إجراء سياسي يتعين أن يفسر كيف أن الأزمة يمكن أن تنتشر عبر القطاعات والأسواق والبلدان. فنظرا لأنه لا يمكن مطلقا تفادي كل وجه من أوجه الضعف، فإن نظام الإنذار المبكر يجب أن يرن جرس الإنذار من المخاطر الوشيكة، للسماح للبلدان بأن تستجمع قواها لمكافحة الأزمات الوشيكة ولصناع السياسة بأن يطبقوا خططا للطوارئ.  </w:t>
      </w:r>
    </w:p>
    <w:p w:rsidR="00F86643" w:rsidRPr="00F86643" w:rsidRDefault="00F86643" w:rsidP="00787583">
      <w:pPr>
        <w:tabs>
          <w:tab w:val="right" w:pos="565"/>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كما أن الأزمة المالية العالمية توضح التحديات، </w:t>
      </w:r>
      <w:r w:rsidR="00706056">
        <w:rPr>
          <w:rFonts w:ascii="Traditional Arabic" w:hAnsi="Traditional Arabic" w:cs="Traditional Arabic" w:hint="cs"/>
          <w:sz w:val="32"/>
          <w:szCs w:val="32"/>
          <w:rtl/>
          <w:lang w:bidi="ar-DZ"/>
        </w:rPr>
        <w:t xml:space="preserve">فقد </w:t>
      </w:r>
      <w:r w:rsidRPr="00F86643">
        <w:rPr>
          <w:rFonts w:ascii="Traditional Arabic" w:hAnsi="Traditional Arabic" w:cs="Traditional Arabic" w:hint="cs"/>
          <w:sz w:val="32"/>
          <w:szCs w:val="32"/>
          <w:rtl/>
          <w:lang w:bidi="ar-DZ"/>
        </w:rPr>
        <w:t xml:space="preserve">لوحظ زيادة سريعة </w:t>
      </w:r>
      <w:r w:rsidR="00E710A5">
        <w:rPr>
          <w:rFonts w:ascii="Traditional Arabic" w:hAnsi="Traditional Arabic" w:cs="Traditional Arabic" w:hint="cs"/>
          <w:sz w:val="32"/>
          <w:szCs w:val="32"/>
          <w:rtl/>
          <w:lang w:bidi="ar-DZ"/>
        </w:rPr>
        <w:t>ل</w:t>
      </w:r>
      <w:r w:rsidRPr="00F86643">
        <w:rPr>
          <w:rFonts w:ascii="Traditional Arabic" w:hAnsi="Traditional Arabic" w:cs="Traditional Arabic" w:hint="cs"/>
          <w:sz w:val="32"/>
          <w:szCs w:val="32"/>
          <w:rtl/>
          <w:lang w:bidi="ar-DZ"/>
        </w:rPr>
        <w:t xml:space="preserve">أسعار المنازل في الولايات المتحدة الأمريكية، وذلك </w:t>
      </w:r>
      <w:r w:rsidR="00787583">
        <w:rPr>
          <w:rFonts w:ascii="Traditional Arabic" w:hAnsi="Traditional Arabic" w:cs="Traditional Arabic" w:hint="cs"/>
          <w:sz w:val="32"/>
          <w:szCs w:val="32"/>
          <w:rtl/>
          <w:lang w:bidi="ar-DZ"/>
        </w:rPr>
        <w:t>زاد من</w:t>
      </w:r>
      <w:r w:rsidR="00E52C38">
        <w:rPr>
          <w:rFonts w:ascii="Traditional Arabic" w:hAnsi="Traditional Arabic" w:cs="Traditional Arabic" w:hint="cs"/>
          <w:sz w:val="32"/>
          <w:szCs w:val="32"/>
          <w:rtl/>
          <w:lang w:bidi="ar-DZ"/>
        </w:rPr>
        <w:t xml:space="preserve"> أوجه التعرض للمخاطر، فال</w:t>
      </w:r>
      <w:r w:rsidRPr="00F86643">
        <w:rPr>
          <w:rFonts w:ascii="Traditional Arabic" w:hAnsi="Traditional Arabic" w:cs="Traditional Arabic" w:hint="cs"/>
          <w:sz w:val="32"/>
          <w:szCs w:val="32"/>
          <w:rtl/>
          <w:lang w:bidi="ar-DZ"/>
        </w:rPr>
        <w:t>نظام المصرفي قليل التنظيم وعالي الاستدانة (بما في ذلك بنوك الاستثمار وأدوات التوريق)</w:t>
      </w:r>
      <w:r w:rsidR="00985D6C">
        <w:rPr>
          <w:rFonts w:ascii="Traditional Arabic" w:hAnsi="Traditional Arabic" w:cs="Traditional Arabic" w:hint="cs"/>
          <w:sz w:val="32"/>
          <w:szCs w:val="32"/>
          <w:rtl/>
          <w:lang w:bidi="ar-DZ"/>
        </w:rPr>
        <w:t xml:space="preserve">، </w:t>
      </w:r>
      <w:r w:rsidR="00535BC3">
        <w:rPr>
          <w:rFonts w:ascii="Traditional Arabic" w:hAnsi="Traditional Arabic" w:cs="Traditional Arabic" w:hint="cs"/>
          <w:sz w:val="32"/>
          <w:szCs w:val="32"/>
          <w:rtl/>
          <w:lang w:bidi="ar-DZ"/>
        </w:rPr>
        <w:t xml:space="preserve">بدوره </w:t>
      </w:r>
      <w:r w:rsidR="00985D6C">
        <w:rPr>
          <w:rFonts w:ascii="Traditional Arabic" w:hAnsi="Traditional Arabic" w:cs="Traditional Arabic" w:hint="cs"/>
          <w:sz w:val="32"/>
          <w:szCs w:val="32"/>
          <w:rtl/>
          <w:lang w:bidi="ar-DZ"/>
        </w:rPr>
        <w:t>مكن من</w:t>
      </w:r>
      <w:r w:rsidRPr="00F86643">
        <w:rPr>
          <w:rFonts w:ascii="Traditional Arabic" w:hAnsi="Traditional Arabic" w:cs="Traditional Arabic" w:hint="cs"/>
          <w:sz w:val="32"/>
          <w:szCs w:val="32"/>
          <w:rtl/>
          <w:lang w:bidi="ar-DZ"/>
        </w:rPr>
        <w:t xml:space="preserve"> أن يحول المشكلة الصغيرة نسبيا الخاصة بالرهونات دون الممتازة إلى أكبر أزمة مالية منذ الكساد الكبير، وبدون القدرة على الربط كان حافز السياسات الوقائية ضئيلا (مثل إجبار البنوك على الاحتفاظ بمزيد من رأس المال مقابل الديون الخارجة عن الميزانية).</w:t>
      </w:r>
      <w:r w:rsidR="008F7CA6">
        <w:rPr>
          <w:rFonts w:ascii="Traditional Arabic" w:hAnsi="Traditional Arabic" w:cs="Traditional Arabic" w:hint="cs"/>
          <w:sz w:val="32"/>
          <w:szCs w:val="32"/>
          <w:rtl/>
          <w:lang w:bidi="ar-DZ"/>
        </w:rPr>
        <w:t xml:space="preserve"> </w:t>
      </w:r>
      <w:r w:rsidR="00DC64A1">
        <w:rPr>
          <w:rFonts w:ascii="Traditional Arabic" w:hAnsi="Traditional Arabic" w:cs="Traditional Arabic" w:hint="cs"/>
          <w:sz w:val="32"/>
          <w:szCs w:val="32"/>
          <w:rtl/>
          <w:lang w:bidi="ar-DZ"/>
        </w:rPr>
        <w:t xml:space="preserve"> </w:t>
      </w:r>
    </w:p>
    <w:p w:rsidR="00F86643" w:rsidRPr="00F86643" w:rsidRDefault="00F86643" w:rsidP="00F86643">
      <w:pPr>
        <w:tabs>
          <w:tab w:val="right" w:pos="565"/>
          <w:tab w:val="left" w:pos="4214"/>
        </w:tabs>
        <w:bidi/>
        <w:spacing w:after="0"/>
        <w:jc w:val="both"/>
        <w:rPr>
          <w:rFonts w:ascii="Traditional Arabic" w:hAnsi="Traditional Arabic" w:cs="Traditional Arabic"/>
          <w:b/>
          <w:bCs/>
          <w:sz w:val="32"/>
          <w:szCs w:val="32"/>
          <w:rtl/>
          <w:lang w:bidi="ar-DZ"/>
        </w:rPr>
      </w:pPr>
      <w:r w:rsidRPr="00F86643">
        <w:rPr>
          <w:rFonts w:ascii="Traditional Arabic" w:hAnsi="Traditional Arabic" w:cs="Traditional Arabic" w:hint="cs"/>
          <w:b/>
          <w:bCs/>
          <w:sz w:val="24"/>
          <w:szCs w:val="24"/>
          <w:rtl/>
          <w:lang w:bidi="ar-DZ"/>
        </w:rPr>
        <w:t xml:space="preserve">2- </w:t>
      </w:r>
      <w:r w:rsidRPr="00F86643">
        <w:rPr>
          <w:rFonts w:ascii="Traditional Arabic" w:hAnsi="Traditional Arabic" w:cs="Traditional Arabic" w:hint="cs"/>
          <w:b/>
          <w:bCs/>
          <w:sz w:val="32"/>
          <w:szCs w:val="32"/>
          <w:rtl/>
          <w:lang w:bidi="ar-DZ"/>
        </w:rPr>
        <w:t xml:space="preserve">خطوات وضع نظام للإنذار المبكر:   </w:t>
      </w:r>
    </w:p>
    <w:p w:rsidR="00B85C44" w:rsidRPr="00F86643" w:rsidRDefault="00F86643" w:rsidP="00B85C44">
      <w:pPr>
        <w:tabs>
          <w:tab w:val="right" w:pos="567"/>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b/>
          <w:bCs/>
          <w:sz w:val="32"/>
          <w:szCs w:val="32"/>
          <w:rtl/>
          <w:lang w:bidi="ar-DZ"/>
        </w:rPr>
        <w:t xml:space="preserve">        </w:t>
      </w:r>
      <w:r w:rsidRPr="00F86643">
        <w:rPr>
          <w:rFonts w:ascii="Traditional Arabic" w:hAnsi="Traditional Arabic" w:cs="Traditional Arabic" w:hint="cs"/>
          <w:sz w:val="32"/>
          <w:szCs w:val="32"/>
          <w:rtl/>
          <w:lang w:bidi="ar-DZ"/>
        </w:rPr>
        <w:t>فالخطوة أولى هي تحديد أي الأحداث ينبغي الإنذار منها، فنماذج الإنذار المبكرة التي وضعت عقب أزمة الأسواق الناشئة في تسعينيات القرن الماضي ركزت على الأحداث الخارجية "التوقف المفاجئ لتدفقات رأس المال"، لأن معظم الأزمات في هذه البلدان كانت ناجمة عن انعكاسات حادة في اتجاه تدفقات رأس المال (وبصورة أضيق بالنسبة لصندوق النقد الدولي، فإن هذه الأزمات تزيد من احتياجات التمويل الخارجي، ومن تم فإن الإنذار المبكر منها يساعد الصندوق على التخطيط للطلب على موارده للإقراض). وفي الاقتصاديات المتقدمة، فإنه على الرغم من أن الأزمات قد يكون لها بعد خارجي، فالأرجح أن تترك</w:t>
      </w:r>
      <w:r w:rsidR="00B85C44">
        <w:rPr>
          <w:rFonts w:ascii="Traditional Arabic" w:hAnsi="Traditional Arabic" w:cs="Traditional Arabic" w:hint="cs"/>
          <w:sz w:val="32"/>
          <w:szCs w:val="32"/>
          <w:rtl/>
          <w:lang w:bidi="ar-DZ"/>
        </w:rPr>
        <w:t>ز على القطاع المالي.</w:t>
      </w:r>
    </w:p>
    <w:p w:rsidR="00F86643" w:rsidRPr="00F86643" w:rsidRDefault="00F86643" w:rsidP="00F86643">
      <w:pPr>
        <w:tabs>
          <w:tab w:val="right" w:pos="565"/>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وبمجرد تحديد الأزمة، فإن الخطوة التالية هي استحداث طاقم أدوات تحليل مناسب، ويقتضي الأمر أن يجمع هذا الطاقم أساليب التحليل الكمي المنهجي مع أساليب أكثر تشجيعا على الاستكشاف، مثل المشاورات </w:t>
      </w:r>
      <w:r w:rsidRPr="00F86643">
        <w:rPr>
          <w:rFonts w:ascii="Traditional Arabic" w:hAnsi="Traditional Arabic" w:cs="Traditional Arabic" w:hint="cs"/>
          <w:sz w:val="32"/>
          <w:szCs w:val="32"/>
          <w:rtl/>
          <w:lang w:bidi="ar-DZ"/>
        </w:rPr>
        <w:lastRenderedPageBreak/>
        <w:t xml:space="preserve">والأحكام المستندة لقاعدة عريضة. ودور الأدوات الكمية في هذا الصدد رباعي، فهي أولا، توفر وسيلة للبحث بصورة نظامية عن أوجه التعرض للخطر، وثانيا، تقتضي الارتباطات خاصة من خلال القطاع المالي، والتي يمكن أن تسمح للأزمة "إن تحققت" بأن تتحول وتنتشر عبر القطاعات، وعبر الأسواق، وعبر البلدان، وثالثا، تحدد كلا من احتمال وانعكاسات تجسد الأزمة في ضوء أوجه التعرض للمعاناة المحددة، ورابعا، تضبط وتوجه استخدام الأحكام.   </w:t>
      </w:r>
    </w:p>
    <w:p w:rsidR="00F86643" w:rsidRPr="00F86643" w:rsidRDefault="00F86643" w:rsidP="00F86643">
      <w:pPr>
        <w:tabs>
          <w:tab w:val="right" w:pos="565"/>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وقد اعتمدت الصيغ المب</w:t>
      </w:r>
      <w:r w:rsidR="007A612C">
        <w:rPr>
          <w:rFonts w:ascii="Traditional Arabic" w:hAnsi="Traditional Arabic" w:cs="Traditional Arabic" w:hint="cs"/>
          <w:sz w:val="32"/>
          <w:szCs w:val="32"/>
          <w:rtl/>
          <w:lang w:bidi="ar-DZ"/>
        </w:rPr>
        <w:t>ت</w:t>
      </w:r>
      <w:r w:rsidRPr="00F86643">
        <w:rPr>
          <w:rFonts w:ascii="Traditional Arabic" w:hAnsi="Traditional Arabic" w:cs="Traditional Arabic" w:hint="cs"/>
          <w:sz w:val="32"/>
          <w:szCs w:val="32"/>
          <w:rtl/>
          <w:lang w:bidi="ar-DZ"/>
        </w:rPr>
        <w:t>كرة من نظم الإنذار ا</w:t>
      </w:r>
      <w:r w:rsidR="00E06417">
        <w:rPr>
          <w:rFonts w:ascii="Traditional Arabic" w:hAnsi="Traditional Arabic" w:cs="Traditional Arabic" w:hint="cs"/>
          <w:sz w:val="32"/>
          <w:szCs w:val="32"/>
          <w:rtl/>
          <w:lang w:bidi="ar-DZ"/>
        </w:rPr>
        <w:t>لمبكر بصورة نموذجية على نموذج (</w:t>
      </w:r>
      <w:r w:rsidR="00876A25">
        <w:rPr>
          <w:rFonts w:ascii="Traditional Arabic" w:hAnsi="Traditional Arabic" w:cs="Traditional Arabic" w:hint="cs"/>
          <w:sz w:val="32"/>
          <w:szCs w:val="32"/>
          <w:rtl/>
          <w:lang w:bidi="ar-DZ"/>
        </w:rPr>
        <w:t>ل</w:t>
      </w:r>
      <w:r w:rsidRPr="00F86643">
        <w:rPr>
          <w:rFonts w:ascii="Traditional Arabic" w:hAnsi="Traditional Arabic" w:cs="Traditional Arabic" w:hint="cs"/>
          <w:sz w:val="32"/>
          <w:szCs w:val="32"/>
          <w:rtl/>
          <w:lang w:bidi="ar-DZ"/>
        </w:rPr>
        <w:t xml:space="preserve">احتمال وقوع أزمة) يربط المؤشرات الاقتصادية الكلية (على سبيل المثال، حجم عجز الحساب الجاري أو نسبة الاحتياطات </w:t>
      </w:r>
      <w:r w:rsidR="00182D55">
        <w:rPr>
          <w:rFonts w:ascii="Traditional Arabic" w:hAnsi="Traditional Arabic" w:cs="Traditional Arabic" w:hint="cs"/>
          <w:sz w:val="32"/>
          <w:szCs w:val="32"/>
          <w:rtl/>
          <w:lang w:bidi="ar-DZ"/>
        </w:rPr>
        <w:t>على ا</w:t>
      </w:r>
      <w:r w:rsidRPr="00F86643">
        <w:rPr>
          <w:rFonts w:ascii="Traditional Arabic" w:hAnsi="Traditional Arabic" w:cs="Traditional Arabic" w:hint="cs"/>
          <w:sz w:val="32"/>
          <w:szCs w:val="32"/>
          <w:rtl/>
          <w:lang w:bidi="ar-DZ"/>
        </w:rPr>
        <w:t xml:space="preserve">لديون قصيرة الأجل في بلدان الأسواق الناشئة) بالأزمة. </w:t>
      </w:r>
    </w:p>
    <w:p w:rsidR="00F86643" w:rsidRPr="00F86643" w:rsidRDefault="00F86643" w:rsidP="0035556B">
      <w:pPr>
        <w:tabs>
          <w:tab w:val="right" w:pos="567"/>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وتعرف صيغ مختلفة أكثر حداثة بأنه في حين تظل هذه النماذج ضرورية للممارسة، فإن النظرة الاقتصادية الكلية والمالية الشاملة، التوافق على نماذج القطاعات الأخرى وتحليلاتها، بيانات السوق عالية التواتر، </w:t>
      </w:r>
      <w:r w:rsidR="0035556B">
        <w:rPr>
          <w:rFonts w:ascii="Traditional Arabic" w:hAnsi="Traditional Arabic" w:cs="Traditional Arabic" w:hint="cs"/>
          <w:sz w:val="32"/>
          <w:szCs w:val="32"/>
          <w:rtl/>
          <w:lang w:bidi="ar-DZ"/>
        </w:rPr>
        <w:t xml:space="preserve">العدوى </w:t>
      </w:r>
      <w:r w:rsidRPr="00F86643">
        <w:rPr>
          <w:rFonts w:ascii="Traditional Arabic" w:hAnsi="Traditional Arabic" w:cs="Traditional Arabic" w:hint="cs"/>
          <w:sz w:val="32"/>
          <w:szCs w:val="32"/>
          <w:rtl/>
          <w:lang w:bidi="ar-DZ"/>
        </w:rPr>
        <w:t xml:space="preserve">التي تمتد عبر الحدود، يمكن أيضا أن تكون جوهرية للوصول إلى تقييم متوازن وشامل لأوجه التعرض للمعاناة التي يمكن أن تسببها الأزمة. </w:t>
      </w:r>
      <w:r w:rsidR="00CA79DC">
        <w:rPr>
          <w:rFonts w:ascii="Traditional Arabic" w:hAnsi="Traditional Arabic" w:cs="Traditional Arabic" w:hint="cs"/>
          <w:sz w:val="32"/>
          <w:szCs w:val="32"/>
          <w:rtl/>
          <w:lang w:bidi="ar-DZ"/>
        </w:rPr>
        <w:t xml:space="preserve"> </w:t>
      </w:r>
      <w:r w:rsidRPr="00F86643">
        <w:rPr>
          <w:rFonts w:ascii="Traditional Arabic" w:hAnsi="Traditional Arabic" w:cs="Traditional Arabic" w:hint="cs"/>
          <w:sz w:val="32"/>
          <w:szCs w:val="32"/>
          <w:rtl/>
          <w:lang w:bidi="ar-DZ"/>
        </w:rPr>
        <w:t xml:space="preserve">                  </w:t>
      </w:r>
    </w:p>
    <w:p w:rsidR="00F86643" w:rsidRPr="00F86643" w:rsidRDefault="00F86643" w:rsidP="00F86643">
      <w:pPr>
        <w:tabs>
          <w:tab w:val="right" w:pos="567"/>
          <w:tab w:val="left" w:pos="4214"/>
        </w:tabs>
        <w:bidi/>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لكن نظاما للإنذار المبكر لا يمكن أن يعتمد فقط على أدوات القياس الرسمية، فالطبيعة الفريدة والمتباينة للأزمات تحد من قدرة الأدوات الإحصائية على استخلاص المعلومات التي يمكن أن تكون مفيدة لتحديد الأزمة التالية أو مراعاة العوامل الخ</w:t>
      </w:r>
      <w:r w:rsidR="00196B72">
        <w:rPr>
          <w:rFonts w:ascii="Traditional Arabic" w:hAnsi="Traditional Arabic" w:cs="Traditional Arabic" w:hint="cs"/>
          <w:sz w:val="32"/>
          <w:szCs w:val="32"/>
          <w:rtl/>
          <w:lang w:bidi="ar-DZ"/>
        </w:rPr>
        <w:t>اصة للبلدان بصورة كاملة. ولذلك ي</w:t>
      </w:r>
      <w:r w:rsidRPr="00F86643">
        <w:rPr>
          <w:rFonts w:ascii="Traditional Arabic" w:hAnsi="Traditional Arabic" w:cs="Traditional Arabic" w:hint="cs"/>
          <w:sz w:val="32"/>
          <w:szCs w:val="32"/>
          <w:rtl/>
          <w:lang w:bidi="ar-DZ"/>
        </w:rPr>
        <w:t xml:space="preserve">كمل هذه الأدوات الكمية، نهجا مثل التشاور مع صناع السياسة والمشاركين في السوق والأكاديميين، وكذلك تطبيق القياس التقريبي المستند للتجربة، التخمين المستدير، إحكام الحدس، الفطرة السليمة، التفكير الخارج عن المألوف، وكل ذلك يساعد في اكتشاف المصادر الجديدة لأوجه التعرض للخطر، أخذا في الاعتبار أن الأزمة التالية قد تكون جد مختلفة عن السابقة.    </w:t>
      </w:r>
    </w:p>
    <w:p w:rsidR="00B16460" w:rsidRPr="00F86643" w:rsidRDefault="004A1030" w:rsidP="006F0296">
      <w:pPr>
        <w:tabs>
          <w:tab w:val="right" w:pos="565"/>
          <w:tab w:val="left" w:pos="4214"/>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F86643" w:rsidRPr="00F86643">
        <w:rPr>
          <w:rFonts w:ascii="Traditional Arabic" w:hAnsi="Traditional Arabic" w:cs="Traditional Arabic" w:hint="cs"/>
          <w:sz w:val="32"/>
          <w:szCs w:val="32"/>
          <w:rtl/>
          <w:lang w:bidi="ar-DZ"/>
        </w:rPr>
        <w:t xml:space="preserve">  بجانب الصعوبات الفنية التي تواجه تحديد أوجه التعرض للمخاطر، فأكبر تحد يقابله نظام الإنذار المبكر هو إقناع صناع السياسة بالعمل بمقتضاه، وذلك بالتوصيل الواضح والصريح للإنذارات المبكرة التي تدعمها تحليلات شاملة، والتي تتضمن وصفا للمصادر الأساسية للتعرض للخطر والصدمات التي يمكن أن تتسبب، وكيف يمكن أن تنتشر هذه الصدمات عبر القطاعات والأسواق والبلدان. كما تصطحب الإنذارات المبكرة مجموعة واضحة من خيارات السياسة، تؤكد المفاضلات بين التصدي لمختلف أنواع المخاطر وتأكيد الحاجة </w:t>
      </w:r>
      <w:r w:rsidR="00F86643" w:rsidRPr="00F86643">
        <w:rPr>
          <w:rFonts w:ascii="Traditional Arabic" w:hAnsi="Traditional Arabic" w:cs="Traditional Arabic" w:hint="cs"/>
          <w:sz w:val="32"/>
          <w:szCs w:val="32"/>
          <w:rtl/>
          <w:lang w:bidi="ar-DZ"/>
        </w:rPr>
        <w:lastRenderedPageBreak/>
        <w:t xml:space="preserve">إلى تنسيق السياسة الدولية، كما ينبغي نقل بعض الرسائل بطريقة سرية لصانعي السياسة، في حين تنتشر معلومات أخرى أقل حساسية إلى الرأي العام.  </w:t>
      </w:r>
    </w:p>
    <w:p w:rsidR="00F86643" w:rsidRPr="00B30D06" w:rsidRDefault="00F86643" w:rsidP="00B30D06">
      <w:pPr>
        <w:tabs>
          <w:tab w:val="right" w:pos="565"/>
          <w:tab w:val="left" w:pos="4214"/>
        </w:tabs>
        <w:bidi/>
        <w:spacing w:after="0"/>
        <w:jc w:val="both"/>
        <w:rPr>
          <w:rFonts w:ascii="Traditional Arabic" w:hAnsi="Traditional Arabic" w:cs="Traditional Arabic"/>
          <w:b/>
          <w:bCs/>
          <w:sz w:val="32"/>
          <w:szCs w:val="32"/>
          <w:lang w:bidi="ar-DZ"/>
        </w:rPr>
      </w:pPr>
      <w:r w:rsidRPr="00B30D06">
        <w:rPr>
          <w:rFonts w:ascii="Traditional Arabic" w:hAnsi="Traditional Arabic" w:cs="Traditional Arabic" w:hint="cs"/>
          <w:b/>
          <w:bCs/>
          <w:sz w:val="24"/>
          <w:szCs w:val="24"/>
          <w:rtl/>
          <w:lang w:bidi="ar-DZ"/>
        </w:rPr>
        <w:t xml:space="preserve">3- </w:t>
      </w:r>
      <w:r w:rsidRPr="00B30D06">
        <w:rPr>
          <w:rFonts w:ascii="Traditional Arabic" w:hAnsi="Traditional Arabic" w:cs="Traditional Arabic" w:hint="cs"/>
          <w:b/>
          <w:bCs/>
          <w:sz w:val="32"/>
          <w:szCs w:val="32"/>
          <w:rtl/>
          <w:lang w:bidi="ar-DZ"/>
        </w:rPr>
        <w:t>أدوات</w:t>
      </w:r>
      <w:r w:rsidR="00B30D06" w:rsidRPr="00B30D06">
        <w:rPr>
          <w:rFonts w:ascii="Traditional Arabic" w:hAnsi="Traditional Arabic" w:cs="Traditional Arabic" w:hint="cs"/>
          <w:b/>
          <w:bCs/>
          <w:sz w:val="32"/>
          <w:szCs w:val="32"/>
          <w:rtl/>
          <w:lang w:bidi="ar-DZ"/>
        </w:rPr>
        <w:t xml:space="preserve"> التحليل التي يقتضيها </w:t>
      </w:r>
      <w:r w:rsidRPr="00B30D06">
        <w:rPr>
          <w:rFonts w:ascii="Traditional Arabic" w:hAnsi="Traditional Arabic" w:cs="Traditional Arabic" w:hint="cs"/>
          <w:b/>
          <w:bCs/>
          <w:sz w:val="32"/>
          <w:szCs w:val="32"/>
          <w:rtl/>
          <w:lang w:bidi="ar-DZ"/>
        </w:rPr>
        <w:t>نظام الإنذار المبكر:</w:t>
      </w:r>
      <w:r w:rsidR="00B30D06">
        <w:rPr>
          <w:rFonts w:ascii="Traditional Arabic" w:hAnsi="Traditional Arabic" w:cs="Traditional Arabic" w:hint="cs"/>
          <w:b/>
          <w:bCs/>
          <w:sz w:val="32"/>
          <w:szCs w:val="32"/>
          <w:rtl/>
          <w:lang w:bidi="ar-DZ"/>
        </w:rPr>
        <w:t xml:space="preserve">  </w:t>
      </w:r>
    </w:p>
    <w:p w:rsidR="00F86643" w:rsidRPr="00F86643" w:rsidRDefault="00F86643" w:rsidP="00F86643">
      <w:pPr>
        <w:tabs>
          <w:tab w:val="right" w:pos="567"/>
        </w:tabs>
        <w:bidi/>
        <w:spacing w:after="0"/>
        <w:jc w:val="both"/>
        <w:rPr>
          <w:rFonts w:ascii="Traditional Arabic" w:hAnsi="Traditional Arabic" w:cs="Traditional Arabic"/>
          <w:sz w:val="32"/>
          <w:szCs w:val="32"/>
          <w:rtl/>
          <w:lang w:bidi="ar-DZ"/>
        </w:rPr>
      </w:pPr>
      <w:r w:rsidRPr="00F86643">
        <w:rPr>
          <w:rFonts w:ascii="Traditional Arabic" w:hAnsi="Traditional Arabic" w:cs="Traditional Arabic" w:hint="cs"/>
          <w:sz w:val="32"/>
          <w:szCs w:val="32"/>
          <w:rtl/>
          <w:lang w:bidi="ar-DZ"/>
        </w:rPr>
        <w:t xml:space="preserve">        إن أدوات التحليل ال</w:t>
      </w:r>
      <w:r w:rsidR="0065597A">
        <w:rPr>
          <w:rFonts w:ascii="Traditional Arabic" w:hAnsi="Traditional Arabic" w:cs="Traditional Arabic" w:hint="cs"/>
          <w:sz w:val="32"/>
          <w:szCs w:val="32"/>
          <w:rtl/>
          <w:lang w:bidi="ar-DZ"/>
        </w:rPr>
        <w:t>تي يقتضيها نظام للإنذار المبكر ت</w:t>
      </w:r>
      <w:r w:rsidRPr="00F86643">
        <w:rPr>
          <w:rFonts w:ascii="Traditional Arabic" w:hAnsi="Traditional Arabic" w:cs="Traditional Arabic" w:hint="cs"/>
          <w:sz w:val="32"/>
          <w:szCs w:val="32"/>
          <w:rtl/>
          <w:lang w:bidi="ar-DZ"/>
        </w:rPr>
        <w:t xml:space="preserve">تضمن عدة عناصر أهمها: </w:t>
      </w:r>
      <w:r w:rsidR="0065597A">
        <w:rPr>
          <w:rFonts w:ascii="Traditional Arabic" w:hAnsi="Traditional Arabic" w:cs="Traditional Arabic" w:hint="cs"/>
          <w:sz w:val="32"/>
          <w:szCs w:val="32"/>
          <w:rtl/>
          <w:lang w:bidi="ar-DZ"/>
        </w:rPr>
        <w:t xml:space="preserve"> </w:t>
      </w:r>
    </w:p>
    <w:p w:rsidR="00F86643" w:rsidRPr="00F86643" w:rsidRDefault="00F86643" w:rsidP="00F86643">
      <w:pPr>
        <w:bidi/>
        <w:jc w:val="both"/>
        <w:rPr>
          <w:rFonts w:ascii="Traditional Arabic" w:hAnsi="Traditional Arabic" w:cs="Traditional Arabic"/>
          <w:sz w:val="32"/>
          <w:szCs w:val="32"/>
          <w:rtl/>
          <w:lang w:bidi="ar-DZ"/>
        </w:rPr>
      </w:pPr>
      <w:r w:rsidRPr="00F86643">
        <w:rPr>
          <w:rFonts w:ascii="Traditional Arabic" w:hAnsi="Traditional Arabic" w:cs="Traditional Arabic" w:hint="cs"/>
          <w:b/>
          <w:bCs/>
          <w:sz w:val="32"/>
          <w:szCs w:val="32"/>
          <w:rtl/>
          <w:lang w:bidi="ar-DZ"/>
        </w:rPr>
        <w:t>أ- الآفاق الاقتصادية الكلية والمالية العالمية:</w:t>
      </w:r>
      <w:r w:rsidRPr="00F86643">
        <w:rPr>
          <w:rFonts w:ascii="Traditional Arabic" w:hAnsi="Traditional Arabic" w:cs="Traditional Arabic" w:hint="cs"/>
          <w:sz w:val="32"/>
          <w:szCs w:val="32"/>
          <w:rtl/>
          <w:lang w:bidi="ar-DZ"/>
        </w:rPr>
        <w:t xml:space="preserve"> يستند تحليل الاتجاهات في المناخ الاقتصادي الكلي والمالي العالمي إلى مقاييس مالية متعددة تعتمد على السوق، المخاطر السيادية، تشتت التنبؤات الاقتصادية للقطاع الخاص، أشكال بيانية تلخص المخاطر الاقتصادية. ولتوفير سياق واسع لتحليل المخاطر، تكمل ذلك اتجاهات موازين الادخار، الاستثمار</w:t>
      </w:r>
      <w:r w:rsidR="0089299B">
        <w:rPr>
          <w:rFonts w:ascii="Traditional Arabic" w:hAnsi="Traditional Arabic" w:cs="Traditional Arabic" w:hint="cs"/>
          <w:sz w:val="32"/>
          <w:szCs w:val="32"/>
          <w:rtl/>
          <w:lang w:bidi="ar-DZ"/>
        </w:rPr>
        <w:t>ات</w:t>
      </w:r>
      <w:r w:rsidRPr="00F86643">
        <w:rPr>
          <w:rFonts w:ascii="Traditional Arabic" w:hAnsi="Traditional Arabic" w:cs="Traditional Arabic" w:hint="cs"/>
          <w:sz w:val="32"/>
          <w:szCs w:val="32"/>
          <w:rtl/>
          <w:lang w:bidi="ar-DZ"/>
        </w:rPr>
        <w:t xml:space="preserve"> القومية والقطاعية، اختلال التوازن الخارجي وسوق توافق سعر الصرف.  </w:t>
      </w:r>
      <w:r w:rsidR="001C7C8B">
        <w:rPr>
          <w:rFonts w:ascii="Traditional Arabic" w:hAnsi="Traditional Arabic" w:cs="Traditional Arabic" w:hint="cs"/>
          <w:sz w:val="32"/>
          <w:szCs w:val="32"/>
          <w:rtl/>
          <w:lang w:bidi="ar-DZ"/>
        </w:rPr>
        <w:t xml:space="preserve"> </w:t>
      </w:r>
    </w:p>
    <w:p w:rsidR="00F86643" w:rsidRPr="00F86643" w:rsidRDefault="00F86643" w:rsidP="00E562CB">
      <w:pPr>
        <w:bidi/>
        <w:jc w:val="both"/>
        <w:rPr>
          <w:rFonts w:ascii="Traditional Arabic" w:hAnsi="Traditional Arabic" w:cs="Traditional Arabic"/>
          <w:sz w:val="32"/>
          <w:szCs w:val="32"/>
          <w:rtl/>
          <w:lang w:bidi="ar-DZ"/>
        </w:rPr>
      </w:pPr>
      <w:r w:rsidRPr="00F86643">
        <w:rPr>
          <w:rFonts w:ascii="Traditional Arabic" w:hAnsi="Traditional Arabic" w:cs="Traditional Arabic" w:hint="cs"/>
          <w:b/>
          <w:bCs/>
          <w:sz w:val="32"/>
          <w:szCs w:val="32"/>
          <w:rtl/>
          <w:lang w:bidi="ar-DZ"/>
        </w:rPr>
        <w:t>ب- مقاييس احتمال وقوع الأزمة (مدتها وعمقها):</w:t>
      </w:r>
      <w:r w:rsidRPr="00F86643">
        <w:rPr>
          <w:rFonts w:ascii="Traditional Arabic" w:hAnsi="Traditional Arabic" w:cs="Traditional Arabic" w:hint="cs"/>
          <w:sz w:val="32"/>
          <w:szCs w:val="32"/>
          <w:rtl/>
          <w:lang w:bidi="ar-DZ"/>
        </w:rPr>
        <w:t xml:space="preserve"> تم استحداث عدد من</w:t>
      </w:r>
      <w:r w:rsidR="00B634C4">
        <w:rPr>
          <w:rFonts w:ascii="Traditional Arabic" w:hAnsi="Traditional Arabic" w:cs="Traditional Arabic" w:hint="cs"/>
          <w:sz w:val="32"/>
          <w:szCs w:val="32"/>
          <w:rtl/>
          <w:lang w:bidi="ar-DZ"/>
        </w:rPr>
        <w:t xml:space="preserve"> مناهج نظم الإنذار المبكر لإيجاد</w:t>
      </w:r>
      <w:r w:rsidRPr="00F86643">
        <w:rPr>
          <w:rFonts w:ascii="Traditional Arabic" w:hAnsi="Traditional Arabic" w:cs="Traditional Arabic" w:hint="cs"/>
          <w:sz w:val="32"/>
          <w:szCs w:val="32"/>
          <w:rtl/>
          <w:lang w:bidi="ar-DZ"/>
        </w:rPr>
        <w:t xml:space="preserve"> أوجه تعرض البلدان للخطر من جراء الأزمات الخارجية والمالية وأزمات النمو وغيرها من الأزمات، استنادا لمجموعة من المؤشرات الاقتصادية والمالية. ويستخدم بعض هذه الأدوات نماذج وحدات قياس الاحتمالات في حين يعتمد البعض الآخر على تقنيات غير معلمة، تحدد عتبات لمؤشرات أوجه التعرض للخطر فرادى، حسب قدرتها على التمييز بين حالات الأزمة وعدم الأزمة. ويمكن إكمال هذه النماذج التي تبين عادة احتمال وقوع الأزمة بأدوات تساعد على تحديد عمق الأزمة ومدتها، ومسار الانتعاش المحتمل (بما في ذلك مثلا، ما إذا كانت ست</w:t>
      </w:r>
      <w:r w:rsidR="004622FD">
        <w:rPr>
          <w:rFonts w:ascii="Traditional Arabic" w:hAnsi="Traditional Arabic" w:cs="Traditional Arabic" w:hint="cs"/>
          <w:sz w:val="32"/>
          <w:szCs w:val="32"/>
          <w:rtl/>
          <w:lang w:bidi="ar-DZ"/>
        </w:rPr>
        <w:t>صطحب بانتعاش قوي في الائتمان) وق</w:t>
      </w:r>
      <w:r w:rsidR="00D83E72">
        <w:rPr>
          <w:rFonts w:ascii="Traditional Arabic" w:hAnsi="Traditional Arabic" w:cs="Traditional Arabic" w:hint="cs"/>
          <w:sz w:val="32"/>
          <w:szCs w:val="32"/>
          <w:rtl/>
          <w:lang w:bidi="ar-DZ"/>
        </w:rPr>
        <w:t>ف</w:t>
      </w:r>
      <w:r w:rsidRPr="00F86643">
        <w:rPr>
          <w:rFonts w:ascii="Traditional Arabic" w:hAnsi="Traditional Arabic" w:cs="Traditional Arabic" w:hint="cs"/>
          <w:sz w:val="32"/>
          <w:szCs w:val="32"/>
          <w:rtl/>
          <w:lang w:bidi="ar-DZ"/>
        </w:rPr>
        <w:t>ا</w:t>
      </w:r>
      <w:r w:rsidR="00D83E72">
        <w:rPr>
          <w:rFonts w:ascii="Traditional Arabic" w:hAnsi="Traditional Arabic" w:cs="Traditional Arabic" w:hint="cs"/>
          <w:sz w:val="32"/>
          <w:szCs w:val="32"/>
          <w:rtl/>
          <w:lang w:bidi="ar-DZ"/>
        </w:rPr>
        <w:t xml:space="preserve"> على </w:t>
      </w:r>
      <w:r w:rsidR="00E562CB" w:rsidRPr="00E562CB">
        <w:rPr>
          <w:rFonts w:ascii="Traditional Arabic" w:hAnsi="Traditional Arabic" w:cs="Traditional Arabic" w:hint="cs"/>
          <w:sz w:val="32"/>
          <w:szCs w:val="32"/>
          <w:rtl/>
          <w:lang w:bidi="ar-DZ"/>
        </w:rPr>
        <w:t xml:space="preserve">وقوع </w:t>
      </w:r>
      <w:r w:rsidRPr="00F86643">
        <w:rPr>
          <w:rFonts w:ascii="Traditional Arabic" w:hAnsi="Traditional Arabic" w:cs="Traditional Arabic" w:hint="cs"/>
          <w:sz w:val="32"/>
          <w:szCs w:val="32"/>
          <w:rtl/>
          <w:lang w:bidi="ar-DZ"/>
        </w:rPr>
        <w:t>الأزمة.</w:t>
      </w:r>
      <w:r w:rsidR="00E562CB">
        <w:rPr>
          <w:rFonts w:ascii="Traditional Arabic" w:hAnsi="Traditional Arabic" w:cs="Traditional Arabic" w:hint="cs"/>
          <w:sz w:val="32"/>
          <w:szCs w:val="32"/>
          <w:rtl/>
          <w:lang w:bidi="ar-DZ"/>
        </w:rPr>
        <w:t xml:space="preserve"> </w:t>
      </w:r>
      <w:r w:rsidRPr="00F86643">
        <w:rPr>
          <w:rFonts w:ascii="Traditional Arabic" w:hAnsi="Traditional Arabic" w:cs="Traditional Arabic" w:hint="cs"/>
          <w:sz w:val="32"/>
          <w:szCs w:val="32"/>
          <w:rtl/>
          <w:lang w:bidi="ar-DZ"/>
        </w:rPr>
        <w:t xml:space="preserve"> </w:t>
      </w:r>
      <w:r w:rsidR="00E562CB">
        <w:rPr>
          <w:rFonts w:ascii="Traditional Arabic" w:hAnsi="Traditional Arabic" w:cs="Traditional Arabic" w:hint="cs"/>
          <w:sz w:val="32"/>
          <w:szCs w:val="32"/>
          <w:rtl/>
          <w:lang w:bidi="ar-DZ"/>
        </w:rPr>
        <w:t xml:space="preserve"> </w:t>
      </w:r>
      <w:r w:rsidR="00BE4890">
        <w:rPr>
          <w:rFonts w:ascii="Traditional Arabic" w:hAnsi="Traditional Arabic" w:cs="Traditional Arabic" w:hint="cs"/>
          <w:sz w:val="32"/>
          <w:szCs w:val="32"/>
          <w:rtl/>
          <w:lang w:bidi="ar-DZ"/>
        </w:rPr>
        <w:t xml:space="preserve"> </w:t>
      </w:r>
      <w:r w:rsidR="00D57135">
        <w:rPr>
          <w:rFonts w:ascii="Traditional Arabic" w:hAnsi="Traditional Arabic" w:cs="Traditional Arabic" w:hint="cs"/>
          <w:sz w:val="32"/>
          <w:szCs w:val="32"/>
          <w:rtl/>
          <w:lang w:bidi="ar-DZ"/>
        </w:rPr>
        <w:t xml:space="preserve">  </w:t>
      </w:r>
      <w:r w:rsidR="00E562CB">
        <w:rPr>
          <w:rFonts w:ascii="Traditional Arabic" w:hAnsi="Traditional Arabic" w:cs="Traditional Arabic" w:hint="cs"/>
          <w:sz w:val="32"/>
          <w:szCs w:val="32"/>
          <w:rtl/>
          <w:lang w:bidi="ar-DZ"/>
        </w:rPr>
        <w:t xml:space="preserve"> </w:t>
      </w:r>
      <w:r w:rsidR="00065051">
        <w:rPr>
          <w:rFonts w:ascii="Traditional Arabic" w:hAnsi="Traditional Arabic" w:cs="Traditional Arabic" w:hint="cs"/>
          <w:sz w:val="32"/>
          <w:szCs w:val="32"/>
          <w:rtl/>
          <w:lang w:bidi="ar-DZ"/>
        </w:rPr>
        <w:t xml:space="preserve">  </w:t>
      </w:r>
      <w:r w:rsidR="00112351">
        <w:rPr>
          <w:rFonts w:ascii="Traditional Arabic" w:hAnsi="Traditional Arabic" w:cs="Traditional Arabic" w:hint="cs"/>
          <w:sz w:val="32"/>
          <w:szCs w:val="32"/>
          <w:rtl/>
          <w:lang w:bidi="ar-DZ"/>
        </w:rPr>
        <w:t xml:space="preserve">  </w:t>
      </w:r>
    </w:p>
    <w:p w:rsidR="00F86643" w:rsidRPr="00F86643" w:rsidRDefault="00F86643" w:rsidP="00F86643">
      <w:pPr>
        <w:bidi/>
        <w:jc w:val="both"/>
        <w:rPr>
          <w:rFonts w:ascii="Traditional Arabic" w:hAnsi="Traditional Arabic" w:cs="Traditional Arabic"/>
          <w:sz w:val="32"/>
          <w:szCs w:val="32"/>
          <w:rtl/>
          <w:lang w:bidi="ar-DZ"/>
        </w:rPr>
      </w:pPr>
      <w:r w:rsidRPr="00F86643">
        <w:rPr>
          <w:rFonts w:ascii="Traditional Arabic" w:hAnsi="Traditional Arabic" w:cs="Traditional Arabic" w:hint="cs"/>
          <w:b/>
          <w:bCs/>
          <w:sz w:val="32"/>
          <w:szCs w:val="32"/>
          <w:rtl/>
          <w:lang w:bidi="ar-DZ"/>
        </w:rPr>
        <w:t>ج- مقاييس أوجه التعرض للضعف القطاعي:</w:t>
      </w:r>
      <w:r w:rsidRPr="00F86643">
        <w:rPr>
          <w:rFonts w:ascii="Traditional Arabic" w:hAnsi="Traditional Arabic" w:cs="Traditional Arabic" w:hint="cs"/>
          <w:sz w:val="32"/>
          <w:szCs w:val="32"/>
          <w:rtl/>
          <w:lang w:bidi="ar-DZ"/>
        </w:rPr>
        <w:t xml:space="preserve"> لتحقيق الانسجام بين نماذج الاحتمالات العامة للأزمة والتحليل القطاعي، يمكن استخدام مناهج قطاعية متخصصة، وذلك بتركز الأدوات القطاعية على مصادر محددة معرضة للضعف (على سبيل المثال، عدم تجانس أسعار المنازل أو المراكز المالية غير القابلة للاستدامة)، كما يمكن أن تساعد مؤشرات السوق المالية في تجميع معلومات مستقبلية وتوقع الأحوال المالية سريعة التدهور.  </w:t>
      </w:r>
    </w:p>
    <w:p w:rsidR="00F86643" w:rsidRPr="00F86643" w:rsidRDefault="00F86643" w:rsidP="00F86643">
      <w:pPr>
        <w:bidi/>
        <w:jc w:val="both"/>
        <w:rPr>
          <w:rFonts w:ascii="Traditional Arabic" w:hAnsi="Traditional Arabic" w:cs="Traditional Arabic"/>
          <w:sz w:val="32"/>
          <w:szCs w:val="32"/>
          <w:lang w:bidi="ar-DZ"/>
        </w:rPr>
      </w:pPr>
      <w:r w:rsidRPr="00F86643">
        <w:rPr>
          <w:rFonts w:ascii="Traditional Arabic" w:hAnsi="Traditional Arabic" w:cs="Traditional Arabic" w:hint="cs"/>
          <w:b/>
          <w:bCs/>
          <w:sz w:val="32"/>
          <w:szCs w:val="32"/>
          <w:rtl/>
          <w:lang w:bidi="ar-DZ"/>
        </w:rPr>
        <w:t>د- نقل العدوى عبر البلدان والقطاعات والأسواق:</w:t>
      </w:r>
      <w:r w:rsidRPr="00F86643">
        <w:rPr>
          <w:rFonts w:ascii="Traditional Arabic" w:hAnsi="Traditional Arabic" w:cs="Traditional Arabic" w:hint="cs"/>
          <w:sz w:val="32"/>
          <w:szCs w:val="32"/>
          <w:rtl/>
          <w:lang w:bidi="ar-DZ"/>
        </w:rPr>
        <w:t xml:space="preserve"> يتطلب وضع سيناريوهات المخاطر، وكيفية انتقال الصدمات عبر مختلف البلدان والأسواق. فعلى سبيل المثال، فإن البيانات المتوفرة عن تعرض البنوك للمخاطر عبر البلدان يمكن أن تساعد في حدوث عدوى دولية من خلال القروض البنكية. من جهة أخرى، هناك العديد </w:t>
      </w:r>
      <w:r w:rsidRPr="00F86643">
        <w:rPr>
          <w:rFonts w:ascii="Traditional Arabic" w:hAnsi="Traditional Arabic" w:cs="Traditional Arabic" w:hint="cs"/>
          <w:sz w:val="32"/>
          <w:szCs w:val="32"/>
          <w:rtl/>
          <w:lang w:bidi="ar-DZ"/>
        </w:rPr>
        <w:lastRenderedPageBreak/>
        <w:t>من الأدوات التي يمكن أن تساعد على انتقال أخطار عدوى القطاع المالي إلى القطاع السيادي وإلى الشركات غير المالية، بما في ذلك الاعتماد على تصورات الأسواق</w:t>
      </w:r>
      <w:r w:rsidRPr="00F86643">
        <w:rPr>
          <w:rStyle w:val="Appelnotedebasdep"/>
          <w:rFonts w:ascii="Traditional Arabic" w:hAnsi="Traditional Arabic" w:cs="Traditional Arabic"/>
          <w:sz w:val="32"/>
          <w:szCs w:val="32"/>
          <w:rtl/>
          <w:lang w:bidi="ar-DZ"/>
        </w:rPr>
        <w:footnoteReference w:id="54"/>
      </w:r>
      <w:r w:rsidRPr="00F86643">
        <w:rPr>
          <w:rFonts w:ascii="Traditional Arabic" w:hAnsi="Traditional Arabic" w:cs="Traditional Arabic" w:hint="cs"/>
          <w:sz w:val="32"/>
          <w:szCs w:val="32"/>
          <w:rtl/>
          <w:lang w:bidi="ar-DZ"/>
        </w:rPr>
        <w:t xml:space="preserve">.  </w:t>
      </w:r>
      <w:r w:rsidR="00101EE5">
        <w:rPr>
          <w:rFonts w:ascii="Traditional Arabic" w:hAnsi="Traditional Arabic" w:cs="Traditional Arabic" w:hint="cs"/>
          <w:sz w:val="32"/>
          <w:szCs w:val="32"/>
          <w:rtl/>
          <w:lang w:bidi="ar-DZ"/>
        </w:rPr>
        <w:t xml:space="preserve">  </w:t>
      </w:r>
    </w:p>
    <w:p w:rsidR="00F86643" w:rsidRPr="00F86643" w:rsidRDefault="00F86643" w:rsidP="00F86643">
      <w:pPr>
        <w:tabs>
          <w:tab w:val="right" w:pos="567"/>
        </w:tabs>
        <w:bidi/>
        <w:spacing w:after="0"/>
        <w:jc w:val="both"/>
        <w:rPr>
          <w:rFonts w:ascii="Traditional Arabic" w:hAnsi="Traditional Arabic" w:cs="Traditional Arabic"/>
          <w:b/>
          <w:bCs/>
          <w:sz w:val="32"/>
          <w:szCs w:val="32"/>
          <w:rtl/>
          <w:lang w:bidi="ar-DZ"/>
        </w:rPr>
      </w:pPr>
      <w:r w:rsidRPr="00F86643">
        <w:rPr>
          <w:rFonts w:ascii="Traditional Arabic" w:hAnsi="Traditional Arabic" w:cs="Traditional Arabic"/>
          <w:b/>
          <w:bCs/>
          <w:sz w:val="24"/>
          <w:szCs w:val="24"/>
          <w:lang w:bidi="ar-DZ"/>
        </w:rPr>
        <w:t>4</w:t>
      </w:r>
      <w:r w:rsidRPr="00F86643">
        <w:rPr>
          <w:rFonts w:ascii="Traditional Arabic" w:hAnsi="Traditional Arabic" w:cs="Traditional Arabic"/>
          <w:b/>
          <w:bCs/>
          <w:sz w:val="24"/>
          <w:szCs w:val="24"/>
          <w:rtl/>
          <w:lang w:bidi="ar-DZ"/>
        </w:rPr>
        <w:t xml:space="preserve">- </w:t>
      </w:r>
      <w:r w:rsidRPr="00F86643">
        <w:rPr>
          <w:rFonts w:ascii="Traditional Arabic" w:hAnsi="Traditional Arabic" w:cs="Traditional Arabic"/>
          <w:b/>
          <w:bCs/>
          <w:sz w:val="32"/>
          <w:szCs w:val="32"/>
          <w:rtl/>
          <w:lang w:bidi="ar-DZ"/>
        </w:rPr>
        <w:t>مؤشرات الحيطة والحذر من إمكانية التعرض للأزمات المالية:</w:t>
      </w:r>
    </w:p>
    <w:p w:rsidR="00F86643" w:rsidRPr="00F86643" w:rsidRDefault="00F86643" w:rsidP="00F86643">
      <w:pPr>
        <w:tabs>
          <w:tab w:val="right" w:pos="567"/>
        </w:tabs>
        <w:bidi/>
        <w:spacing w:after="0"/>
        <w:jc w:val="both"/>
        <w:rPr>
          <w:rFonts w:ascii="Traditional Arabic" w:hAnsi="Traditional Arabic" w:cs="Traditional Arabic"/>
          <w:sz w:val="32"/>
          <w:szCs w:val="32"/>
          <w:rtl/>
          <w:lang w:bidi="ar-DZ"/>
        </w:rPr>
      </w:pPr>
      <w:r w:rsidRPr="00F86643">
        <w:rPr>
          <w:rFonts w:ascii="Traditional Arabic" w:hAnsi="Traditional Arabic" w:cs="Traditional Arabic"/>
          <w:b/>
          <w:bCs/>
          <w:sz w:val="32"/>
          <w:szCs w:val="32"/>
          <w:rtl/>
          <w:lang w:bidi="ar-DZ"/>
        </w:rPr>
        <w:t xml:space="preserve">    </w:t>
      </w:r>
      <w:r w:rsidRPr="00F86643">
        <w:rPr>
          <w:rFonts w:ascii="Traditional Arabic" w:hAnsi="Traditional Arabic" w:cs="Traditional Arabic"/>
          <w:sz w:val="32"/>
          <w:szCs w:val="32"/>
          <w:rtl/>
          <w:lang w:bidi="ar-DZ"/>
        </w:rPr>
        <w:t xml:space="preserve">  </w:t>
      </w:r>
      <w:r w:rsidRPr="00F86643">
        <w:rPr>
          <w:rFonts w:ascii="Traditional Arabic" w:hAnsi="Traditional Arabic" w:cs="Traditional Arabic" w:hint="cs"/>
          <w:sz w:val="32"/>
          <w:szCs w:val="32"/>
          <w:rtl/>
          <w:lang w:bidi="ar-DZ"/>
        </w:rPr>
        <w:t xml:space="preserve">   </w:t>
      </w:r>
      <w:r w:rsidRPr="00F86643">
        <w:rPr>
          <w:rFonts w:ascii="Traditional Arabic" w:hAnsi="Traditional Arabic" w:cs="Traditional Arabic"/>
          <w:sz w:val="32"/>
          <w:szCs w:val="32"/>
          <w:rtl/>
          <w:lang w:bidi="ar-DZ"/>
        </w:rPr>
        <w:t xml:space="preserve">يمكن تصنيف المؤشرات </w:t>
      </w:r>
      <w:r w:rsidRPr="00F86643">
        <w:rPr>
          <w:rFonts w:ascii="Traditional Arabic" w:hAnsi="Traditional Arabic" w:cs="Traditional Arabic" w:hint="cs"/>
          <w:sz w:val="32"/>
          <w:szCs w:val="32"/>
          <w:rtl/>
          <w:lang w:bidi="ar-DZ"/>
        </w:rPr>
        <w:t>الاقتصادية</w:t>
      </w:r>
      <w:r w:rsidRPr="00F86643">
        <w:rPr>
          <w:rFonts w:ascii="Traditional Arabic" w:hAnsi="Traditional Arabic" w:cs="Traditional Arabic"/>
          <w:sz w:val="32"/>
          <w:szCs w:val="32"/>
          <w:rtl/>
          <w:lang w:bidi="ar-DZ"/>
        </w:rPr>
        <w:t xml:space="preserve"> التقليدية الدالة على إمكانية تعرض الدولة لأزمات وصدمات أو هزات في سوق الأوراق المالية والأسهم أو تعرضها لأزمة في العملات في صنفين</w:t>
      </w:r>
      <w:r w:rsidR="009A69F7" w:rsidRPr="00F86643">
        <w:rPr>
          <w:rStyle w:val="Appelnotedebasdep"/>
          <w:rFonts w:ascii="Traditional Arabic" w:hAnsi="Traditional Arabic" w:cs="Traditional Arabic"/>
          <w:sz w:val="32"/>
          <w:szCs w:val="32"/>
          <w:rtl/>
          <w:lang w:bidi="ar-DZ"/>
        </w:rPr>
        <w:footnoteReference w:id="55"/>
      </w:r>
      <w:r w:rsidRPr="00F86643">
        <w:rPr>
          <w:rFonts w:ascii="Traditional Arabic" w:hAnsi="Traditional Arabic" w:cs="Traditional Arabic"/>
          <w:sz w:val="32"/>
          <w:szCs w:val="32"/>
          <w:rtl/>
          <w:lang w:bidi="ar-DZ"/>
        </w:rPr>
        <w:t>:</w:t>
      </w:r>
      <w:r w:rsidR="009A69F7">
        <w:rPr>
          <w:rFonts w:ascii="Traditional Arabic" w:hAnsi="Traditional Arabic" w:cs="Traditional Arabic"/>
          <w:sz w:val="32"/>
          <w:szCs w:val="32"/>
          <w:lang w:bidi="ar-DZ"/>
        </w:rPr>
        <w:t xml:space="preserve"> </w:t>
      </w:r>
    </w:p>
    <w:p w:rsidR="00F86643" w:rsidRPr="00F86643" w:rsidRDefault="00F86643" w:rsidP="00A75BC2">
      <w:pPr>
        <w:tabs>
          <w:tab w:val="right" w:pos="567"/>
        </w:tabs>
        <w:bidi/>
        <w:spacing w:after="0"/>
        <w:jc w:val="both"/>
        <w:rPr>
          <w:rFonts w:ascii="Traditional Arabic" w:hAnsi="Traditional Arabic" w:cs="Traditional Arabic"/>
          <w:sz w:val="32"/>
          <w:szCs w:val="32"/>
          <w:rtl/>
          <w:lang w:bidi="ar-DZ"/>
        </w:rPr>
      </w:pPr>
      <w:r w:rsidRPr="00F86643">
        <w:rPr>
          <w:rFonts w:ascii="Traditional Arabic" w:hAnsi="Traditional Arabic" w:cs="Traditional Arabic"/>
          <w:sz w:val="32"/>
          <w:szCs w:val="32"/>
          <w:rtl/>
          <w:lang w:bidi="ar-DZ"/>
        </w:rPr>
        <w:t xml:space="preserve">- التطورات في السياسة </w:t>
      </w:r>
      <w:r w:rsidRPr="00F86643">
        <w:rPr>
          <w:rFonts w:ascii="Traditional Arabic" w:hAnsi="Traditional Arabic" w:cs="Traditional Arabic" w:hint="cs"/>
          <w:sz w:val="32"/>
          <w:szCs w:val="32"/>
          <w:rtl/>
          <w:lang w:bidi="ar-DZ"/>
        </w:rPr>
        <w:t>الاقتصادية</w:t>
      </w:r>
      <w:r w:rsidRPr="00F86643">
        <w:rPr>
          <w:rFonts w:ascii="Traditional Arabic" w:hAnsi="Traditional Arabic" w:cs="Traditional Arabic"/>
          <w:sz w:val="32"/>
          <w:szCs w:val="32"/>
          <w:rtl/>
          <w:lang w:bidi="ar-DZ"/>
        </w:rPr>
        <w:t xml:space="preserve"> الكلية التي تهز ثقة المستثمرين</w:t>
      </w:r>
      <w:r w:rsidR="00A75BC2">
        <w:rPr>
          <w:rFonts w:ascii="Traditional Arabic" w:hAnsi="Traditional Arabic" w:cs="Traditional Arabic" w:hint="cs"/>
          <w:sz w:val="32"/>
          <w:szCs w:val="32"/>
          <w:rtl/>
          <w:lang w:bidi="ar-DZ"/>
        </w:rPr>
        <w:t>؛</w:t>
      </w:r>
    </w:p>
    <w:p w:rsidR="00F86643" w:rsidRPr="00F86643" w:rsidRDefault="00F86643" w:rsidP="00F86643">
      <w:pPr>
        <w:tabs>
          <w:tab w:val="right" w:pos="567"/>
        </w:tabs>
        <w:bidi/>
        <w:jc w:val="both"/>
        <w:rPr>
          <w:rFonts w:ascii="Traditional Arabic" w:hAnsi="Traditional Arabic" w:cs="Traditional Arabic"/>
          <w:sz w:val="32"/>
          <w:szCs w:val="32"/>
          <w:rtl/>
          <w:lang w:bidi="ar-DZ"/>
        </w:rPr>
      </w:pPr>
      <w:r w:rsidRPr="00F86643">
        <w:rPr>
          <w:rFonts w:ascii="Traditional Arabic" w:hAnsi="Traditional Arabic" w:cs="Traditional Arabic"/>
          <w:sz w:val="32"/>
          <w:szCs w:val="32"/>
          <w:rtl/>
          <w:lang w:bidi="ar-DZ"/>
        </w:rPr>
        <w:t>- الخصائص الهيكلية للسوق أو خصائص التركيب التي تجعله عرضة لأن يفقد المستثمرون الثقة فيه.</w:t>
      </w:r>
    </w:p>
    <w:p w:rsidR="00F86643" w:rsidRPr="007770B3" w:rsidRDefault="00F86643" w:rsidP="00762933">
      <w:pPr>
        <w:tabs>
          <w:tab w:val="right" w:pos="567"/>
          <w:tab w:val="right" w:pos="4536"/>
        </w:tabs>
        <w:bidi/>
        <w:spacing w:after="0"/>
        <w:jc w:val="center"/>
        <w:rPr>
          <w:rFonts w:ascii="Traditional Arabic" w:hAnsi="Traditional Arabic" w:cs="Traditional Arabic"/>
          <w:sz w:val="32"/>
          <w:szCs w:val="32"/>
          <w:rtl/>
          <w:lang w:bidi="ar-DZ"/>
        </w:rPr>
      </w:pPr>
      <w:r w:rsidRPr="007770B3">
        <w:rPr>
          <w:rFonts w:ascii="Traditional Arabic" w:hAnsi="Traditional Arabic" w:cs="Traditional Arabic"/>
          <w:sz w:val="32"/>
          <w:szCs w:val="32"/>
          <w:rtl/>
          <w:lang w:bidi="ar-DZ"/>
        </w:rPr>
        <w:t xml:space="preserve">الجدول رقم </w:t>
      </w:r>
      <w:r w:rsidR="00C013DB" w:rsidRPr="00C013DB">
        <w:rPr>
          <w:rFonts w:ascii="Traditional Arabic" w:hAnsi="Traditional Arabic" w:cs="Traditional Arabic" w:hint="cs"/>
          <w:sz w:val="24"/>
          <w:szCs w:val="24"/>
          <w:rtl/>
          <w:lang w:bidi="ar-DZ"/>
        </w:rPr>
        <w:t>29</w:t>
      </w:r>
      <w:r w:rsidRPr="007770B3">
        <w:rPr>
          <w:rFonts w:ascii="Traditional Arabic" w:hAnsi="Traditional Arabic" w:cs="Traditional Arabic"/>
          <w:sz w:val="32"/>
          <w:szCs w:val="32"/>
          <w:rtl/>
          <w:lang w:bidi="ar-DZ"/>
        </w:rPr>
        <w:t xml:space="preserve">: المؤشرات </w:t>
      </w:r>
      <w:r w:rsidRPr="007770B3">
        <w:rPr>
          <w:rFonts w:ascii="Traditional Arabic" w:hAnsi="Traditional Arabic" w:cs="Traditional Arabic" w:hint="cs"/>
          <w:sz w:val="32"/>
          <w:szCs w:val="32"/>
          <w:rtl/>
          <w:lang w:bidi="ar-DZ"/>
        </w:rPr>
        <w:t>الاقتصادية</w:t>
      </w:r>
      <w:r w:rsidRPr="007770B3">
        <w:rPr>
          <w:rFonts w:ascii="Traditional Arabic" w:hAnsi="Traditional Arabic" w:cs="Traditional Arabic"/>
          <w:sz w:val="32"/>
          <w:szCs w:val="32"/>
          <w:rtl/>
          <w:lang w:bidi="ar-DZ"/>
        </w:rPr>
        <w:t xml:space="preserve"> ا</w:t>
      </w:r>
      <w:r w:rsidR="007770B3">
        <w:rPr>
          <w:rFonts w:ascii="Traditional Arabic" w:hAnsi="Traditional Arabic" w:cs="Traditional Arabic"/>
          <w:sz w:val="32"/>
          <w:szCs w:val="32"/>
          <w:rtl/>
          <w:lang w:bidi="ar-DZ"/>
        </w:rPr>
        <w:t>لتقليدية للتعرض للأزمات المالية</w:t>
      </w:r>
    </w:p>
    <w:tbl>
      <w:tblPr>
        <w:tblStyle w:val="Grilledutableau"/>
        <w:bidiVisual/>
        <w:tblW w:w="9211" w:type="dxa"/>
        <w:tblLook w:val="04A0"/>
      </w:tblPr>
      <w:tblGrid>
        <w:gridCol w:w="4795"/>
        <w:gridCol w:w="4416"/>
      </w:tblGrid>
      <w:tr w:rsidR="00F86643" w:rsidRPr="00CF3B25" w:rsidTr="00820AC5">
        <w:trPr>
          <w:trHeight w:val="424"/>
        </w:trPr>
        <w:tc>
          <w:tcPr>
            <w:tcW w:w="4795" w:type="dxa"/>
          </w:tcPr>
          <w:p w:rsidR="00F86643" w:rsidRPr="00CF3B25" w:rsidRDefault="00F86643" w:rsidP="00820AC5">
            <w:pPr>
              <w:tabs>
                <w:tab w:val="right" w:pos="567"/>
              </w:tabs>
              <w:bidi/>
              <w:jc w:val="both"/>
              <w:rPr>
                <w:rFonts w:ascii="Traditional Arabic" w:hAnsi="Traditional Arabic" w:cs="Traditional Arabic"/>
                <w:b/>
                <w:bCs/>
                <w:sz w:val="28"/>
                <w:szCs w:val="28"/>
                <w:rtl/>
                <w:lang w:bidi="ar-DZ"/>
              </w:rPr>
            </w:pPr>
            <w:r w:rsidRPr="00CF3B25">
              <w:rPr>
                <w:rFonts w:ascii="Traditional Arabic" w:hAnsi="Traditional Arabic" w:cs="Traditional Arabic"/>
                <w:b/>
                <w:bCs/>
                <w:sz w:val="28"/>
                <w:szCs w:val="28"/>
                <w:rtl/>
                <w:lang w:bidi="ar-DZ"/>
              </w:rPr>
              <w:t xml:space="preserve">التطورات في </w:t>
            </w:r>
            <w:r w:rsidRPr="00CF3B25">
              <w:rPr>
                <w:rFonts w:ascii="Traditional Arabic" w:hAnsi="Traditional Arabic" w:cs="Traditional Arabic" w:hint="cs"/>
                <w:b/>
                <w:bCs/>
                <w:sz w:val="28"/>
                <w:szCs w:val="28"/>
                <w:rtl/>
                <w:lang w:bidi="ar-DZ"/>
              </w:rPr>
              <w:t>الاقتصاد</w:t>
            </w:r>
            <w:r w:rsidRPr="00CF3B25">
              <w:rPr>
                <w:rFonts w:ascii="Traditional Arabic" w:hAnsi="Traditional Arabic" w:cs="Traditional Arabic"/>
                <w:b/>
                <w:bCs/>
                <w:sz w:val="28"/>
                <w:szCs w:val="28"/>
                <w:rtl/>
                <w:lang w:bidi="ar-DZ"/>
              </w:rPr>
              <w:t xml:space="preserve"> الكلي</w:t>
            </w:r>
          </w:p>
        </w:tc>
        <w:tc>
          <w:tcPr>
            <w:tcW w:w="4416" w:type="dxa"/>
          </w:tcPr>
          <w:p w:rsidR="00F86643" w:rsidRPr="00CF3B25" w:rsidRDefault="00F86643" w:rsidP="00820AC5">
            <w:pPr>
              <w:tabs>
                <w:tab w:val="right" w:pos="567"/>
              </w:tabs>
              <w:bidi/>
              <w:jc w:val="both"/>
              <w:rPr>
                <w:rFonts w:ascii="Traditional Arabic" w:hAnsi="Traditional Arabic" w:cs="Traditional Arabic"/>
                <w:b/>
                <w:bCs/>
                <w:sz w:val="28"/>
                <w:szCs w:val="28"/>
                <w:rtl/>
                <w:lang w:bidi="ar-DZ"/>
              </w:rPr>
            </w:pPr>
            <w:r w:rsidRPr="00CF3B25">
              <w:rPr>
                <w:rFonts w:ascii="Traditional Arabic" w:hAnsi="Traditional Arabic" w:cs="Traditional Arabic"/>
                <w:b/>
                <w:bCs/>
                <w:sz w:val="28"/>
                <w:szCs w:val="28"/>
                <w:rtl/>
                <w:lang w:bidi="ar-DZ"/>
              </w:rPr>
              <w:t>الخصائص الهيكلية أو البنيوية</w:t>
            </w:r>
          </w:p>
        </w:tc>
      </w:tr>
      <w:tr w:rsidR="00F86643" w:rsidRPr="00CF3B25" w:rsidTr="00820AC5">
        <w:trPr>
          <w:trHeight w:val="6187"/>
        </w:trPr>
        <w:tc>
          <w:tcPr>
            <w:tcW w:w="4795" w:type="dxa"/>
          </w:tcPr>
          <w:p w:rsidR="00F86643" w:rsidRPr="00CF3B25" w:rsidRDefault="00F86643" w:rsidP="00820AC5">
            <w:pPr>
              <w:tabs>
                <w:tab w:val="right" w:pos="567"/>
                <w:tab w:val="left" w:pos="2534"/>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ارتفاع معدل التضخم.</w:t>
            </w:r>
            <w:r w:rsidRPr="00CF3B25">
              <w:rPr>
                <w:rFonts w:ascii="Traditional Arabic" w:hAnsi="Traditional Arabic" w:cs="Traditional Arabic"/>
                <w:sz w:val="28"/>
                <w:szCs w:val="28"/>
                <w:rtl/>
                <w:lang w:bidi="ar-DZ"/>
              </w:rPr>
              <w:tab/>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نمو سريع في التدفق النقدي.</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انخفاض حقيقي لمعدل نمو الصادرات.</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عجز مالي متزايد.</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ارتفاع معدل التبادل بالنسبة </w:t>
            </w:r>
            <w:r w:rsidRPr="00CF3B25">
              <w:rPr>
                <w:rFonts w:ascii="Traditional Arabic" w:hAnsi="Traditional Arabic" w:cs="Traditional Arabic" w:hint="cs"/>
                <w:sz w:val="28"/>
                <w:szCs w:val="28"/>
                <w:rtl/>
                <w:lang w:bidi="ar-DZ"/>
              </w:rPr>
              <w:t>للاتجاه</w:t>
            </w:r>
            <w:r w:rsidRPr="00CF3B25">
              <w:rPr>
                <w:rFonts w:ascii="Traditional Arabic" w:hAnsi="Traditional Arabic" w:cs="Traditional Arabic"/>
                <w:sz w:val="28"/>
                <w:szCs w:val="28"/>
                <w:rtl/>
                <w:lang w:bidi="ar-DZ"/>
              </w:rPr>
              <w:t xml:space="preserve"> السائد.</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النمو السريع في الإعتمادات المالية المحلية كنسبة مئوية من الناتج القومي الإجمالي.</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ارتفاع نسبة القروض غير المنتجة إلى إجمالي القروض.</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ارتفاع نسبة العجز في الحسابات الجارية كنسبة مئوية من الناتج القومي الإجمالي.</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نمو الديون الخارجية وزيادة الديون في العملات الأجنبية.</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انخفاض </w:t>
            </w:r>
            <w:r w:rsidRPr="00CF3B25">
              <w:rPr>
                <w:rFonts w:ascii="Traditional Arabic" w:hAnsi="Traditional Arabic" w:cs="Traditional Arabic" w:hint="cs"/>
                <w:sz w:val="28"/>
                <w:szCs w:val="28"/>
                <w:rtl/>
                <w:lang w:bidi="ar-DZ"/>
              </w:rPr>
              <w:t>الاحتياطي</w:t>
            </w:r>
            <w:r w:rsidRPr="00CF3B25">
              <w:rPr>
                <w:rFonts w:ascii="Traditional Arabic" w:hAnsi="Traditional Arabic" w:cs="Traditional Arabic"/>
                <w:sz w:val="28"/>
                <w:szCs w:val="28"/>
                <w:rtl/>
                <w:lang w:bidi="ar-DZ"/>
              </w:rPr>
              <w:t xml:space="preserve"> العالمي.</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انخفاض النمو </w:t>
            </w:r>
            <w:r w:rsidRPr="00CF3B25">
              <w:rPr>
                <w:rFonts w:ascii="Traditional Arabic" w:hAnsi="Traditional Arabic" w:cs="Traditional Arabic" w:hint="cs"/>
                <w:sz w:val="28"/>
                <w:szCs w:val="28"/>
                <w:rtl/>
                <w:lang w:bidi="ar-DZ"/>
              </w:rPr>
              <w:t>الاقتصادي</w:t>
            </w:r>
            <w:r w:rsidRPr="00CF3B25">
              <w:rPr>
                <w:rFonts w:ascii="Traditional Arabic" w:hAnsi="Traditional Arabic" w:cs="Traditional Arabic"/>
                <w:sz w:val="28"/>
                <w:szCs w:val="28"/>
                <w:rtl/>
                <w:lang w:bidi="ar-DZ"/>
              </w:rPr>
              <w:t xml:space="preserve"> الحقيقي.</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ارتفاع معدل الأسعار والأرباح.</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ارتفاع معدلات الفائدة المحلية وارتفاع معدل البطالة. </w:t>
            </w:r>
          </w:p>
        </w:tc>
        <w:tc>
          <w:tcPr>
            <w:tcW w:w="4416" w:type="dxa"/>
          </w:tcPr>
          <w:p w:rsidR="00F86643" w:rsidRPr="00CF3B25" w:rsidRDefault="00DE738F" w:rsidP="00DE738F">
            <w:pPr>
              <w:tabs>
                <w:tab w:val="right" w:pos="567"/>
              </w:tabs>
              <w:bidi/>
              <w:jc w:val="both"/>
              <w:rPr>
                <w:rFonts w:ascii="Traditional Arabic" w:hAnsi="Traditional Arabic" w:cs="Traditional Arabic"/>
                <w:sz w:val="28"/>
                <w:szCs w:val="28"/>
                <w:rtl/>
                <w:lang w:bidi="ar-DZ"/>
              </w:rPr>
            </w:pPr>
            <w:r>
              <w:rPr>
                <w:rFonts w:ascii="Traditional Arabic" w:hAnsi="Traditional Arabic" w:cs="Traditional Arabic"/>
                <w:sz w:val="28"/>
                <w:szCs w:val="28"/>
                <w:rtl/>
                <w:lang w:bidi="ar-DZ"/>
              </w:rPr>
              <w:t>- نظام</w:t>
            </w:r>
            <w:r w:rsidR="00F86643" w:rsidRPr="00CF3B25">
              <w:rPr>
                <w:rFonts w:ascii="Traditional Arabic" w:hAnsi="Traditional Arabic" w:cs="Traditional Arabic"/>
                <w:sz w:val="28"/>
                <w:szCs w:val="28"/>
                <w:rtl/>
                <w:lang w:bidi="ar-DZ"/>
              </w:rPr>
              <w:t xml:space="preserve"> جمود معدلات التبادل.</w:t>
            </w:r>
            <w:r>
              <w:rPr>
                <w:rFonts w:ascii="Traditional Arabic" w:hAnsi="Traditional Arabic" w:cs="Traditional Arabic" w:hint="cs"/>
                <w:sz w:val="28"/>
                <w:szCs w:val="28"/>
                <w:rtl/>
                <w:lang w:bidi="ar-DZ"/>
              </w:rPr>
              <w:t xml:space="preserve">  </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w:t>
            </w:r>
            <w:r w:rsidRPr="00CF3B25">
              <w:rPr>
                <w:rFonts w:ascii="Traditional Arabic" w:hAnsi="Traditional Arabic" w:cs="Traditional Arabic" w:hint="cs"/>
                <w:sz w:val="28"/>
                <w:szCs w:val="28"/>
                <w:rtl/>
                <w:lang w:bidi="ar-DZ"/>
              </w:rPr>
              <w:t>إستراتيجية</w:t>
            </w:r>
            <w:r w:rsidRPr="00CF3B25">
              <w:rPr>
                <w:rFonts w:ascii="Traditional Arabic" w:hAnsi="Traditional Arabic" w:cs="Traditional Arabic"/>
                <w:sz w:val="28"/>
                <w:szCs w:val="28"/>
                <w:rtl/>
                <w:lang w:bidi="ar-DZ"/>
              </w:rPr>
              <w:t xml:space="preserve"> النمو المتزايد في الصادرات.</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قطاع التصدير أكثر تركيزا.</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ارتفاع معدل التغير للديون الخارجية.</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ارتفاع حجم الدين الخارجي قصير الأجل.</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تحرير سوق المال الحديث.</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إطار ضعيف للإشراف على الأموال وتنظيمها.</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أسواق </w:t>
            </w:r>
            <w:r w:rsidRPr="00CF3B25">
              <w:rPr>
                <w:rFonts w:ascii="Traditional Arabic" w:hAnsi="Traditional Arabic" w:cs="Traditional Arabic" w:hint="cs"/>
                <w:sz w:val="28"/>
                <w:szCs w:val="28"/>
                <w:rtl/>
                <w:lang w:bidi="ar-DZ"/>
              </w:rPr>
              <w:t>الائتمان</w:t>
            </w:r>
            <w:r w:rsidRPr="00CF3B25">
              <w:rPr>
                <w:rFonts w:ascii="Traditional Arabic" w:hAnsi="Traditional Arabic" w:cs="Traditional Arabic"/>
                <w:sz w:val="28"/>
                <w:szCs w:val="28"/>
                <w:rtl/>
                <w:lang w:bidi="ar-DZ"/>
              </w:rPr>
              <w:t xml:space="preserve"> مضمونة بأصول مالية أو عقارية.</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xml:space="preserve">- انخفاض </w:t>
            </w:r>
            <w:r w:rsidRPr="00CF3B25">
              <w:rPr>
                <w:rFonts w:ascii="Traditional Arabic" w:hAnsi="Traditional Arabic" w:cs="Traditional Arabic" w:hint="cs"/>
                <w:sz w:val="28"/>
                <w:szCs w:val="28"/>
                <w:rtl/>
                <w:lang w:bidi="ar-DZ"/>
              </w:rPr>
              <w:t>الاكتتاب</w:t>
            </w:r>
            <w:r w:rsidRPr="00CF3B25">
              <w:rPr>
                <w:rFonts w:ascii="Traditional Arabic" w:hAnsi="Traditional Arabic" w:cs="Traditional Arabic"/>
                <w:sz w:val="28"/>
                <w:szCs w:val="28"/>
                <w:rtl/>
                <w:lang w:bidi="ar-DZ"/>
              </w:rPr>
              <w:t xml:space="preserve"> في سوق الأسهم.</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سيطرة بعض المؤسسات على سوق الأسهم.</w:t>
            </w:r>
          </w:p>
          <w:p w:rsidR="00F86643" w:rsidRPr="00CF3B25" w:rsidRDefault="00F86643" w:rsidP="00820AC5">
            <w:pPr>
              <w:tabs>
                <w:tab w:val="right" w:pos="567"/>
              </w:tabs>
              <w:bidi/>
              <w:jc w:val="both"/>
              <w:rPr>
                <w:rFonts w:ascii="Traditional Arabic" w:hAnsi="Traditional Arabic" w:cs="Traditional Arabic"/>
                <w:sz w:val="28"/>
                <w:szCs w:val="28"/>
                <w:rtl/>
                <w:lang w:bidi="ar-DZ"/>
              </w:rPr>
            </w:pPr>
            <w:r w:rsidRPr="00CF3B25">
              <w:rPr>
                <w:rFonts w:ascii="Traditional Arabic" w:hAnsi="Traditional Arabic" w:cs="Traditional Arabic"/>
                <w:sz w:val="28"/>
                <w:szCs w:val="28"/>
                <w:rtl/>
                <w:lang w:bidi="ar-DZ"/>
              </w:rPr>
              <w:t>- سيطرة بعض الصناعات على سوق الأسهم.</w:t>
            </w:r>
          </w:p>
          <w:p w:rsidR="00F86643" w:rsidRPr="00CF3B25" w:rsidRDefault="00F86643" w:rsidP="00820AC5">
            <w:pPr>
              <w:tabs>
                <w:tab w:val="right" w:pos="567"/>
              </w:tabs>
              <w:bidi/>
              <w:jc w:val="both"/>
              <w:rPr>
                <w:rFonts w:ascii="Traditional Arabic" w:hAnsi="Traditional Arabic" w:cs="Traditional Arabic"/>
                <w:b/>
                <w:bCs/>
                <w:sz w:val="28"/>
                <w:szCs w:val="28"/>
                <w:rtl/>
                <w:lang w:bidi="ar-DZ"/>
              </w:rPr>
            </w:pPr>
            <w:r w:rsidRPr="00CF3B25">
              <w:rPr>
                <w:rFonts w:ascii="Traditional Arabic" w:hAnsi="Traditional Arabic" w:cs="Traditional Arabic"/>
                <w:sz w:val="28"/>
                <w:szCs w:val="28"/>
                <w:rtl/>
                <w:lang w:bidi="ar-DZ"/>
              </w:rPr>
              <w:t>- الرقابة على دخول السوق والخروج منه.</w:t>
            </w:r>
          </w:p>
        </w:tc>
      </w:tr>
    </w:tbl>
    <w:p w:rsidR="009050E9" w:rsidRPr="00706780" w:rsidRDefault="00F86643" w:rsidP="00706780">
      <w:pPr>
        <w:bidi/>
        <w:rPr>
          <w:rFonts w:ascii="Traditional Arabic" w:hAnsi="Traditional Arabic" w:cs="Traditional Arabic"/>
          <w:sz w:val="28"/>
          <w:szCs w:val="28"/>
          <w:lang w:bidi="ar-DZ"/>
        </w:rPr>
      </w:pPr>
      <w:r w:rsidRPr="007770B3">
        <w:rPr>
          <w:rFonts w:ascii="Traditional Arabic" w:hAnsi="Traditional Arabic" w:cs="Traditional Arabic"/>
          <w:sz w:val="28"/>
          <w:szCs w:val="28"/>
          <w:rtl/>
          <w:lang w:bidi="ar-DZ"/>
        </w:rPr>
        <w:t>المرجع: عبد الحكيم مصطفى الشرقاوي</w:t>
      </w:r>
      <w:r w:rsidR="002248D5" w:rsidRPr="007770B3">
        <w:rPr>
          <w:rFonts w:ascii="Traditional Arabic" w:hAnsi="Traditional Arabic" w:cs="Traditional Arabic" w:hint="cs"/>
          <w:sz w:val="28"/>
          <w:szCs w:val="28"/>
          <w:rtl/>
          <w:lang w:bidi="ar-DZ"/>
        </w:rPr>
        <w:t>: مرجع سابق</w:t>
      </w:r>
      <w:r w:rsidRPr="007770B3">
        <w:rPr>
          <w:rFonts w:ascii="Traditional Arabic" w:hAnsi="Traditional Arabic" w:cs="Traditional Arabic"/>
          <w:sz w:val="28"/>
          <w:szCs w:val="28"/>
          <w:rtl/>
          <w:lang w:bidi="ar-DZ"/>
        </w:rPr>
        <w:t xml:space="preserve">، ص </w:t>
      </w:r>
      <w:r w:rsidRPr="007770B3">
        <w:rPr>
          <w:rFonts w:ascii="Traditional Arabic" w:hAnsi="Traditional Arabic" w:cs="Traditional Arabic"/>
          <w:sz w:val="24"/>
          <w:szCs w:val="24"/>
          <w:rtl/>
          <w:lang w:bidi="ar-DZ"/>
        </w:rPr>
        <w:t>39</w:t>
      </w:r>
      <w:r w:rsidRPr="007770B3">
        <w:rPr>
          <w:rFonts w:ascii="Traditional Arabic" w:hAnsi="Traditional Arabic" w:cs="Traditional Arabic"/>
          <w:sz w:val="28"/>
          <w:szCs w:val="28"/>
          <w:lang w:bidi="ar-DZ"/>
        </w:rPr>
        <w:t>.</w:t>
      </w:r>
    </w:p>
    <w:p w:rsidR="003E2A9E" w:rsidRPr="002C2180" w:rsidRDefault="00014E19" w:rsidP="00F86643">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المطلب الثاني</w:t>
      </w:r>
      <w:r w:rsidR="002C2180" w:rsidRPr="002C2180">
        <w:rPr>
          <w:rFonts w:ascii="Traditional Arabic" w:hAnsi="Traditional Arabic" w:cs="Traditional Arabic" w:hint="cs"/>
          <w:b/>
          <w:bCs/>
          <w:sz w:val="32"/>
          <w:szCs w:val="32"/>
          <w:rtl/>
          <w:lang w:bidi="ar-DZ"/>
        </w:rPr>
        <w:t xml:space="preserve">: </w:t>
      </w:r>
      <w:r w:rsidR="003E2A9E" w:rsidRPr="002C2180">
        <w:rPr>
          <w:rFonts w:ascii="Traditional Arabic" w:hAnsi="Traditional Arabic" w:cs="Traditional Arabic"/>
          <w:b/>
          <w:bCs/>
          <w:sz w:val="32"/>
          <w:szCs w:val="32"/>
          <w:rtl/>
          <w:lang w:bidi="ar-DZ"/>
        </w:rPr>
        <w:t xml:space="preserve">دور صندوق النقد الدولي في إدارة الأزمة المالية والاقتصادية الراهنة: </w:t>
      </w:r>
    </w:p>
    <w:p w:rsidR="003E2A9E" w:rsidRPr="002C2180" w:rsidRDefault="002C2180" w:rsidP="002C2180">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32"/>
          <w:szCs w:val="32"/>
          <w:rtl/>
          <w:lang w:bidi="ar-DZ"/>
        </w:rPr>
        <w:t xml:space="preserve">يمكن القول أن هذا الدور برز منذ ظهور بوادر الأزمة، ويتجلى ذلك من خلال سعي الصندوق لإحداث جملة من الإصلاحات الإدارية بإصلاح هياكله وآليات عمله وأدواته التمويلية لتكييفها مع متطلبات السيولة العالمية ودعمه لخطط الإنقاذ المالي التي اعتمدتها الكثير من الدول، وعليه يمكن القول أن أهم أوجه تدخل الصندوق في حل الأزمة تتجلى من خلال:   </w:t>
      </w:r>
    </w:p>
    <w:p w:rsidR="003E2A9E" w:rsidRPr="002C2180" w:rsidRDefault="003E2A9E" w:rsidP="003E2A9E">
      <w:pPr>
        <w:tabs>
          <w:tab w:val="right" w:pos="567"/>
        </w:tabs>
        <w:bidi/>
        <w:spacing w:after="0"/>
        <w:jc w:val="both"/>
        <w:rPr>
          <w:rFonts w:ascii="Traditional Arabic" w:hAnsi="Traditional Arabic" w:cs="Traditional Arabic"/>
          <w:b/>
          <w:bCs/>
          <w:sz w:val="32"/>
          <w:szCs w:val="32"/>
          <w:rtl/>
          <w:lang w:bidi="ar-DZ"/>
        </w:rPr>
      </w:pPr>
      <w:r w:rsidRPr="002C2180">
        <w:rPr>
          <w:rFonts w:ascii="Traditional Arabic" w:hAnsi="Traditional Arabic" w:cs="Traditional Arabic" w:hint="cs"/>
          <w:b/>
          <w:bCs/>
          <w:sz w:val="24"/>
          <w:szCs w:val="24"/>
          <w:rtl/>
          <w:lang w:bidi="ar-DZ"/>
        </w:rPr>
        <w:t xml:space="preserve">1- </w:t>
      </w:r>
      <w:r w:rsidRPr="002C2180">
        <w:rPr>
          <w:rFonts w:ascii="Traditional Arabic" w:hAnsi="Traditional Arabic" w:cs="Traditional Arabic" w:hint="cs"/>
          <w:b/>
          <w:bCs/>
          <w:sz w:val="32"/>
          <w:szCs w:val="32"/>
          <w:rtl/>
          <w:lang w:bidi="ar-DZ"/>
        </w:rPr>
        <w:t>إصلاح نظام الإقراض وزيادة حجمه:</w:t>
      </w:r>
    </w:p>
    <w:p w:rsidR="003E2A9E" w:rsidRPr="002C2180" w:rsidRDefault="00AF1D05" w:rsidP="003E2A9E">
      <w:pPr>
        <w:tabs>
          <w:tab w:val="right" w:pos="567"/>
        </w:tabs>
        <w:bidi/>
        <w:spacing w:after="0"/>
        <w:jc w:val="both"/>
        <w:rPr>
          <w:rFonts w:ascii="Traditional Arabic" w:hAnsi="Traditional Arabic" w:cs="Traditional Arabic"/>
          <w:b/>
          <w:bCs/>
          <w:sz w:val="32"/>
          <w:szCs w:val="32"/>
          <w:lang w:bidi="ar-DZ"/>
        </w:rPr>
      </w:pPr>
      <w:r w:rsidRPr="00AF1D05">
        <w:rPr>
          <w:rFonts w:ascii="Traditional Arabic" w:hAnsi="Traditional Arabic" w:cs="Traditional Arabic" w:hint="cs"/>
          <w:b/>
          <w:bCs/>
          <w:sz w:val="32"/>
          <w:szCs w:val="32"/>
          <w:rtl/>
          <w:lang w:bidi="ar-DZ"/>
        </w:rPr>
        <w:t>أ-</w:t>
      </w:r>
      <w:r w:rsidR="003E2A9E" w:rsidRPr="00AF1D05">
        <w:rPr>
          <w:rFonts w:ascii="Traditional Arabic" w:hAnsi="Traditional Arabic" w:cs="Traditional Arabic" w:hint="cs"/>
          <w:b/>
          <w:bCs/>
          <w:sz w:val="32"/>
          <w:szCs w:val="32"/>
          <w:rtl/>
          <w:lang w:bidi="ar-DZ"/>
        </w:rPr>
        <w:t xml:space="preserve"> </w:t>
      </w:r>
      <w:r w:rsidR="003E2A9E" w:rsidRPr="002C2180">
        <w:rPr>
          <w:rFonts w:ascii="Traditional Arabic" w:hAnsi="Traditional Arabic" w:cs="Traditional Arabic" w:hint="cs"/>
          <w:b/>
          <w:bCs/>
          <w:sz w:val="32"/>
          <w:szCs w:val="32"/>
          <w:rtl/>
          <w:lang w:bidi="ar-DZ"/>
        </w:rPr>
        <w:t xml:space="preserve">آلية إصلاح نظام الإقراض الحالي: </w:t>
      </w:r>
    </w:p>
    <w:p w:rsidR="003E2A9E" w:rsidRPr="002C2180" w:rsidRDefault="003E2A9E" w:rsidP="003E2A9E">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وعليه فإن خطة الإصلاح لنظام الإقراض تقوم على</w:t>
      </w:r>
      <w:r w:rsidRPr="002C2180">
        <w:rPr>
          <w:rStyle w:val="Appelnotedebasdep"/>
          <w:rFonts w:ascii="Traditional Arabic" w:hAnsi="Traditional Arabic" w:cs="Traditional Arabic"/>
          <w:sz w:val="32"/>
          <w:szCs w:val="32"/>
          <w:rtl/>
          <w:lang w:bidi="ar-DZ"/>
        </w:rPr>
        <w:footnoteReference w:id="56"/>
      </w:r>
      <w:r w:rsidRPr="002C2180">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jc w:val="both"/>
        <w:rPr>
          <w:rFonts w:ascii="Traditional Arabic" w:hAnsi="Traditional Arabic" w:cs="Traditional Arabic"/>
          <w:b/>
          <w:bCs/>
          <w:sz w:val="32"/>
          <w:szCs w:val="32"/>
          <w:rtl/>
          <w:lang w:bidi="ar-DZ"/>
        </w:rPr>
      </w:pPr>
      <w:r w:rsidRPr="002C2180">
        <w:rPr>
          <w:rFonts w:ascii="Traditional Arabic" w:hAnsi="Traditional Arabic" w:cs="Traditional Arabic" w:hint="cs"/>
          <w:b/>
          <w:bCs/>
          <w:sz w:val="32"/>
          <w:szCs w:val="32"/>
          <w:rtl/>
          <w:lang w:bidi="ar-DZ"/>
        </w:rPr>
        <w:t>- تحديث الشرطية:</w:t>
      </w:r>
      <w:r w:rsidRPr="002C2180">
        <w:rPr>
          <w:rFonts w:ascii="Traditional Arabic" w:hAnsi="Traditional Arabic" w:cs="Traditional Arabic" w:hint="cs"/>
          <w:sz w:val="32"/>
          <w:szCs w:val="32"/>
          <w:rtl/>
          <w:lang w:bidi="ar-DZ"/>
        </w:rPr>
        <w:t xml:space="preserve"> يسعى صندوق النقد الدولي في إطار برنامج الإصلاح إلى إجراء تحديث قائم على خلق نوع من المواءمة بين شروطه المرتبطة بالإقراض ودرجة القوة التي تميز سياسات البلدان الأعضاء وأساسياتها الاقتصادية، وذلك بالاعتماد على معايير الأهلية التي تحدد سابقا (الشرطية المسبقة) وليس على أساس الشرطية التقليدية (اللاحقة)، على أن تتم عملية مراقبة تنفيذ السياسات الهيكلية في البرامج المدعمة بموارد الصندوق في إطار مراجعة البرامج بدلا من مراقبتها باستخدام معايير الأداء الهيكلية.     </w:t>
      </w:r>
    </w:p>
    <w:p w:rsidR="003E2A9E" w:rsidRPr="002C2180" w:rsidRDefault="003E2A9E" w:rsidP="00BC07C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b/>
          <w:bCs/>
          <w:sz w:val="32"/>
          <w:szCs w:val="32"/>
          <w:rtl/>
          <w:lang w:bidi="ar-DZ"/>
        </w:rPr>
        <w:t>- استحداث خط الائتمان المرن:</w:t>
      </w:r>
      <w:r w:rsidRPr="002C2180">
        <w:rPr>
          <w:rFonts w:ascii="Traditional Arabic" w:hAnsi="Traditional Arabic" w:cs="Traditional Arabic" w:hint="cs"/>
          <w:sz w:val="32"/>
          <w:szCs w:val="32"/>
          <w:rtl/>
          <w:lang w:bidi="ar-DZ"/>
        </w:rPr>
        <w:t xml:space="preserve"> عبارة عن قرض حديث مزدوج الاستخدام، قابل للتجديد دون قيود، تستفيد منه الدول التي أثبتت مستوى قوي في تنفيذ السياسات الاقتصادية، لتلبية الاحتياجات الطارئة (أساس وقائي) واحتياجات ميزان المدفوعات الفعلية، دون الالتزام بتحقيق أهداف معينة في مجال السياسات الاقتصادية نظرا لتوفره على معايير الأهلية، على أن تلتزم بالتسديد في </w:t>
      </w:r>
      <w:r w:rsidR="00BC07CE">
        <w:rPr>
          <w:rFonts w:ascii="Traditional Arabic" w:hAnsi="Traditional Arabic" w:cs="Traditional Arabic" w:hint="cs"/>
          <w:sz w:val="32"/>
          <w:szCs w:val="32"/>
          <w:rtl/>
          <w:lang w:bidi="ar-DZ"/>
        </w:rPr>
        <w:t>آ</w:t>
      </w:r>
      <w:r w:rsidRPr="002C2180">
        <w:rPr>
          <w:rFonts w:ascii="Traditional Arabic" w:hAnsi="Traditional Arabic" w:cs="Traditional Arabic" w:hint="cs"/>
          <w:sz w:val="32"/>
          <w:szCs w:val="32"/>
          <w:rtl/>
          <w:lang w:bidi="ar-DZ"/>
        </w:rPr>
        <w:t xml:space="preserve">جال تمتد من </w:t>
      </w:r>
      <w:r w:rsidRPr="002C2180">
        <w:rPr>
          <w:rFonts w:ascii="Traditional Arabic" w:hAnsi="Traditional Arabic" w:cs="Traditional Arabic" w:hint="cs"/>
          <w:sz w:val="24"/>
          <w:szCs w:val="24"/>
          <w:rtl/>
          <w:lang w:bidi="ar-DZ"/>
        </w:rPr>
        <w:t>3.25</w:t>
      </w:r>
      <w:r w:rsidRPr="002C2180">
        <w:rPr>
          <w:rFonts w:ascii="Traditional Arabic" w:hAnsi="Traditional Arabic" w:cs="Traditional Arabic" w:hint="cs"/>
          <w:sz w:val="28"/>
          <w:szCs w:val="28"/>
          <w:rtl/>
          <w:lang w:bidi="ar-DZ"/>
        </w:rPr>
        <w:t xml:space="preserve"> </w:t>
      </w:r>
      <w:r w:rsidRPr="002C2180">
        <w:rPr>
          <w:rFonts w:ascii="Traditional Arabic" w:hAnsi="Traditional Arabic" w:cs="Traditional Arabic" w:hint="cs"/>
          <w:sz w:val="32"/>
          <w:szCs w:val="32"/>
          <w:rtl/>
          <w:lang w:bidi="ar-DZ"/>
        </w:rPr>
        <w:t xml:space="preserve">سنة إلى </w:t>
      </w:r>
      <w:r w:rsidRPr="002C2180">
        <w:rPr>
          <w:rFonts w:ascii="Traditional Arabic" w:hAnsi="Traditional Arabic" w:cs="Traditional Arabic" w:hint="cs"/>
          <w:sz w:val="24"/>
          <w:szCs w:val="24"/>
          <w:rtl/>
          <w:lang w:bidi="ar-DZ"/>
        </w:rPr>
        <w:t>5</w:t>
      </w:r>
      <w:r w:rsidRPr="002C2180">
        <w:rPr>
          <w:rFonts w:ascii="Traditional Arabic" w:hAnsi="Traditional Arabic" w:cs="Traditional Arabic" w:hint="cs"/>
          <w:sz w:val="32"/>
          <w:szCs w:val="32"/>
          <w:rtl/>
          <w:lang w:bidi="ar-DZ"/>
        </w:rPr>
        <w:t xml:space="preserve"> سنوات. </w:t>
      </w:r>
      <w:r w:rsidR="00BC07CE">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jc w:val="both"/>
        <w:rPr>
          <w:rFonts w:ascii="Traditional Arabic" w:hAnsi="Traditional Arabic" w:cs="Traditional Arabic"/>
          <w:b/>
          <w:bCs/>
          <w:sz w:val="32"/>
          <w:szCs w:val="32"/>
          <w:rtl/>
          <w:lang w:bidi="ar-DZ"/>
        </w:rPr>
      </w:pPr>
      <w:r w:rsidRPr="002C2180">
        <w:rPr>
          <w:rFonts w:ascii="Traditional Arabic" w:hAnsi="Traditional Arabic" w:cs="Traditional Arabic" w:hint="cs"/>
          <w:b/>
          <w:bCs/>
          <w:sz w:val="32"/>
          <w:szCs w:val="32"/>
          <w:rtl/>
          <w:lang w:bidi="ar-DZ"/>
        </w:rPr>
        <w:t xml:space="preserve">- دعم اتفاق الاستعداد الائتماني: </w:t>
      </w:r>
      <w:r w:rsidRPr="002C2180">
        <w:rPr>
          <w:rFonts w:ascii="Traditional Arabic" w:hAnsi="Traditional Arabic" w:cs="Traditional Arabic" w:hint="cs"/>
          <w:sz w:val="32"/>
          <w:szCs w:val="32"/>
          <w:rtl/>
          <w:lang w:bidi="ar-DZ"/>
        </w:rPr>
        <w:t xml:space="preserve">تتيح هذه الإصلاحات قدرا من المرونة في إقراض البلدان التي قد لا تكون مؤهلة للاستفادة من خط الائتمان المرن وتحتاج إلى تأمين وضعها، ولهذا يمكنها أن تعتمد على الاتفاقات الوقائية للاستعداد الائتماني عالي الموارد في عملية الإقراض. وعلى غرار الائتمان المرن، تراعي الاتفاقات الوقائية ظروف كل بلد على حدة، كما تحقق قدرا أكبر من المرونة عن طريق السماح بتركيز صرف القرض </w:t>
      </w:r>
      <w:r w:rsidRPr="002C2180">
        <w:rPr>
          <w:rFonts w:ascii="Traditional Arabic" w:hAnsi="Traditional Arabic" w:cs="Traditional Arabic" w:hint="cs"/>
          <w:sz w:val="32"/>
          <w:szCs w:val="32"/>
          <w:rtl/>
          <w:lang w:bidi="ar-DZ"/>
        </w:rPr>
        <w:lastRenderedPageBreak/>
        <w:t xml:space="preserve">في البداية والحد من كثرة المراجعات وعمليات الشراء حيثما كان هناك مبرر كاف من قوة السياسات المتبعة في البلد المعني وطبيعة مشكلة ميزان المدفوعات التي يواجهها.   </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b/>
          <w:bCs/>
          <w:sz w:val="32"/>
          <w:szCs w:val="32"/>
          <w:rtl/>
          <w:lang w:bidi="ar-DZ"/>
        </w:rPr>
        <w:t>- مضاعفة حدود الاستفادة من القروض:</w:t>
      </w:r>
      <w:r w:rsidRPr="002C2180">
        <w:rPr>
          <w:rFonts w:ascii="Traditional Arabic" w:hAnsi="Traditional Arabic" w:cs="Traditional Arabic" w:hint="cs"/>
          <w:sz w:val="32"/>
          <w:szCs w:val="32"/>
          <w:rtl/>
          <w:lang w:bidi="ar-DZ"/>
        </w:rPr>
        <w:t xml:space="preserve"> يجري العمل على مضاعفة حدود استفادة البلدان الأعضاء من القروض التي تقدم بشروط غير ميسرة، حيث تبلغ الحدود القصوى الجديدة للاستفادة من موارد الصندوق </w:t>
      </w:r>
      <w:r w:rsidRPr="002C2180">
        <w:rPr>
          <w:rFonts w:ascii="Traditional Arabic" w:hAnsi="Traditional Arabic" w:cs="Traditional Arabic" w:hint="cs"/>
          <w:sz w:val="24"/>
          <w:szCs w:val="24"/>
          <w:rtl/>
          <w:lang w:bidi="ar-DZ"/>
        </w:rPr>
        <w:t>200</w:t>
      </w:r>
      <w:r w:rsidRPr="002C2180">
        <w:rPr>
          <w:rFonts w:ascii="Traditional Arabic" w:hAnsi="Traditional Arabic" w:cs="Traditional Arabic"/>
          <w:sz w:val="24"/>
          <w:szCs w:val="24"/>
          <w:rtl/>
          <w:lang w:bidi="ar-DZ"/>
        </w:rPr>
        <w:t>%</w:t>
      </w:r>
      <w:r w:rsidRPr="002C2180">
        <w:rPr>
          <w:rFonts w:ascii="Traditional Arabic" w:hAnsi="Traditional Arabic" w:cs="Traditional Arabic" w:hint="cs"/>
          <w:sz w:val="24"/>
          <w:szCs w:val="24"/>
          <w:rtl/>
          <w:lang w:bidi="ar-DZ"/>
        </w:rPr>
        <w:t xml:space="preserve"> </w:t>
      </w:r>
      <w:r w:rsidRPr="002C2180">
        <w:rPr>
          <w:rFonts w:ascii="Traditional Arabic" w:hAnsi="Traditional Arabic" w:cs="Traditional Arabic" w:hint="cs"/>
          <w:sz w:val="32"/>
          <w:szCs w:val="32"/>
          <w:rtl/>
          <w:lang w:bidi="ar-DZ"/>
        </w:rPr>
        <w:t xml:space="preserve">من حصة العضوية على أساس سنوي و </w:t>
      </w:r>
      <w:r w:rsidRPr="002C2180">
        <w:rPr>
          <w:rFonts w:ascii="Traditional Arabic" w:hAnsi="Traditional Arabic" w:cs="Traditional Arabic" w:hint="cs"/>
          <w:sz w:val="24"/>
          <w:szCs w:val="24"/>
          <w:rtl/>
          <w:lang w:bidi="ar-DZ"/>
        </w:rPr>
        <w:t>600</w:t>
      </w:r>
      <w:r w:rsidRPr="002C2180">
        <w:rPr>
          <w:rFonts w:ascii="Traditional Arabic" w:hAnsi="Traditional Arabic" w:cs="Traditional Arabic"/>
          <w:sz w:val="24"/>
          <w:szCs w:val="24"/>
          <w:rtl/>
          <w:lang w:bidi="ar-DZ"/>
        </w:rPr>
        <w:t>%</w:t>
      </w:r>
      <w:r w:rsidRPr="002C2180">
        <w:rPr>
          <w:rFonts w:ascii="Traditional Arabic" w:hAnsi="Traditional Arabic" w:cs="Traditional Arabic" w:hint="cs"/>
          <w:sz w:val="24"/>
          <w:szCs w:val="24"/>
          <w:rtl/>
          <w:lang w:bidi="ar-DZ"/>
        </w:rPr>
        <w:t xml:space="preserve"> </w:t>
      </w:r>
      <w:r w:rsidRPr="002C2180">
        <w:rPr>
          <w:rFonts w:ascii="Traditional Arabic" w:hAnsi="Traditional Arabic" w:cs="Traditional Arabic" w:hint="cs"/>
          <w:sz w:val="32"/>
          <w:szCs w:val="32"/>
          <w:rtl/>
          <w:lang w:bidi="ar-DZ"/>
        </w:rPr>
        <w:t xml:space="preserve">منها على أساس تراكمي، ويهدف رفع الحدود على هذا النحو إلى طمأنة البلدان إلى كفاية موارد الصندوق المتاحة لتلبية احتياجاتها التمويلية.  </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b/>
          <w:bCs/>
          <w:sz w:val="32"/>
          <w:szCs w:val="32"/>
          <w:rtl/>
          <w:lang w:bidi="ar-DZ"/>
        </w:rPr>
        <w:t>- تبسيط هيكل التكلفة وآجال الاستحقاق:</w:t>
      </w:r>
      <w:r w:rsidRPr="002C2180">
        <w:rPr>
          <w:rFonts w:ascii="Traditional Arabic" w:hAnsi="Traditional Arabic" w:cs="Traditional Arabic" w:hint="cs"/>
          <w:sz w:val="32"/>
          <w:szCs w:val="32"/>
          <w:rtl/>
          <w:lang w:bidi="ar-DZ"/>
        </w:rPr>
        <w:t xml:space="preserve"> بتوفير الحوافز السعرية المشجعة على الاقتراض من الصندوق، مع تنفيذ إصلاح شامل لهياكل التكلفة وآجال الاستحقاق.</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b/>
          <w:bCs/>
          <w:sz w:val="32"/>
          <w:szCs w:val="32"/>
          <w:rtl/>
          <w:lang w:bidi="ar-DZ"/>
        </w:rPr>
        <w:t>- تبسيط الأدوات المستخدمة في الإقراض:</w:t>
      </w:r>
      <w:r w:rsidRPr="002C2180">
        <w:rPr>
          <w:rFonts w:ascii="Traditional Arabic" w:hAnsi="Traditional Arabic" w:cs="Traditional Arabic" w:hint="cs"/>
          <w:sz w:val="32"/>
          <w:szCs w:val="32"/>
          <w:rtl/>
          <w:lang w:bidi="ar-DZ"/>
        </w:rPr>
        <w:t xml:space="preserve"> بإلغاء بعض التسهيلات التمويلية التي لم تعد تستخدم مؤخرا كتسهيل الاحتياطي التكميلي، تسهيل التمويل التعويضي والتسهيل التمويلي للسيولة قصير الأجل.  </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b/>
          <w:bCs/>
          <w:sz w:val="32"/>
          <w:szCs w:val="32"/>
          <w:rtl/>
          <w:lang w:bidi="ar-DZ"/>
        </w:rPr>
        <w:t xml:space="preserve">- إصلاح التسهيلات الموجهة للدول الأعضاء منخفضة الدخل: </w:t>
      </w:r>
      <w:r w:rsidRPr="002C2180">
        <w:rPr>
          <w:rFonts w:ascii="Traditional Arabic" w:hAnsi="Traditional Arabic" w:cs="Traditional Arabic" w:hint="cs"/>
          <w:sz w:val="32"/>
          <w:szCs w:val="32"/>
          <w:rtl/>
          <w:lang w:bidi="ar-DZ"/>
        </w:rPr>
        <w:t xml:space="preserve">حيث يسعى الصندوق إلى إعادة تصميم تسهيلات الإقراض الموجهة للدول منخفضة الدخل لزيادة القدرة على توفير التمويل الميسر الطارئ وقصير الأجل ومضاعفة حجمها.   </w:t>
      </w:r>
    </w:p>
    <w:p w:rsidR="003E2A9E" w:rsidRPr="002C2180" w:rsidRDefault="00AF1D05" w:rsidP="003E2A9E">
      <w:pPr>
        <w:tabs>
          <w:tab w:val="right" w:pos="567"/>
        </w:tabs>
        <w:bidi/>
        <w:spacing w:after="0"/>
        <w:jc w:val="both"/>
        <w:rPr>
          <w:rFonts w:ascii="Traditional Arabic" w:hAnsi="Traditional Arabic" w:cs="Traditional Arabic"/>
          <w:sz w:val="32"/>
          <w:szCs w:val="32"/>
          <w:rtl/>
          <w:lang w:bidi="ar-DZ"/>
        </w:rPr>
      </w:pPr>
      <w:r w:rsidRPr="00AF1D05">
        <w:rPr>
          <w:rFonts w:ascii="Traditional Arabic" w:hAnsi="Traditional Arabic" w:cs="Traditional Arabic" w:hint="cs"/>
          <w:b/>
          <w:bCs/>
          <w:sz w:val="32"/>
          <w:szCs w:val="32"/>
          <w:rtl/>
          <w:lang w:bidi="ar-DZ"/>
        </w:rPr>
        <w:t>ب</w:t>
      </w:r>
      <w:r w:rsidR="003E2A9E" w:rsidRPr="00AF1D05">
        <w:rPr>
          <w:rFonts w:ascii="Traditional Arabic" w:hAnsi="Traditional Arabic" w:cs="Traditional Arabic" w:hint="cs"/>
          <w:b/>
          <w:bCs/>
          <w:sz w:val="32"/>
          <w:szCs w:val="32"/>
          <w:rtl/>
          <w:lang w:bidi="ar-DZ"/>
        </w:rPr>
        <w:t xml:space="preserve">- </w:t>
      </w:r>
      <w:r w:rsidR="003E2A9E" w:rsidRPr="002C2180">
        <w:rPr>
          <w:rFonts w:ascii="Traditional Arabic" w:hAnsi="Traditional Arabic" w:cs="Traditional Arabic" w:hint="cs"/>
          <w:b/>
          <w:bCs/>
          <w:sz w:val="32"/>
          <w:szCs w:val="32"/>
          <w:rtl/>
          <w:lang w:bidi="ar-DZ"/>
        </w:rPr>
        <w:t>اعتماد إطار جديد لإصدار السندات للقطاع الرسمي</w:t>
      </w:r>
      <w:r w:rsidR="003E2A9E" w:rsidRPr="002C2180">
        <w:rPr>
          <w:rFonts w:ascii="Traditional Arabic" w:hAnsi="Traditional Arabic" w:cs="Traditional Arabic" w:hint="cs"/>
          <w:sz w:val="32"/>
          <w:szCs w:val="32"/>
          <w:rtl/>
          <w:lang w:bidi="ar-DZ"/>
        </w:rPr>
        <w:t xml:space="preserve"> (استحداث قروض جديدة لزيادة حجم الإقراض): </w:t>
      </w:r>
    </w:p>
    <w:p w:rsidR="003E2A9E" w:rsidRPr="002C2180" w:rsidRDefault="003E2A9E" w:rsidP="002C2180">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أعلن المجلس التنفيذي للصندوق في </w:t>
      </w:r>
      <w:r w:rsidRPr="002C2180">
        <w:rPr>
          <w:rFonts w:ascii="Traditional Arabic" w:hAnsi="Traditional Arabic" w:cs="Traditional Arabic" w:hint="cs"/>
          <w:sz w:val="24"/>
          <w:szCs w:val="24"/>
          <w:rtl/>
          <w:lang w:bidi="ar-DZ"/>
        </w:rPr>
        <w:t>1</w:t>
      </w:r>
      <w:r w:rsidRPr="002C2180">
        <w:rPr>
          <w:rFonts w:ascii="Traditional Arabic" w:hAnsi="Traditional Arabic" w:cs="Traditional Arabic" w:hint="cs"/>
          <w:sz w:val="32"/>
          <w:szCs w:val="32"/>
          <w:rtl/>
          <w:lang w:bidi="ar-DZ"/>
        </w:rPr>
        <w:t xml:space="preserve"> جويلية </w:t>
      </w:r>
      <w:r w:rsidRPr="002C2180">
        <w:rPr>
          <w:rFonts w:ascii="Traditional Arabic" w:hAnsi="Traditional Arabic" w:cs="Traditional Arabic" w:hint="cs"/>
          <w:sz w:val="24"/>
          <w:szCs w:val="24"/>
          <w:rtl/>
          <w:lang w:bidi="ar-DZ"/>
        </w:rPr>
        <w:t xml:space="preserve">2009 </w:t>
      </w:r>
      <w:r w:rsidRPr="002C2180">
        <w:rPr>
          <w:rFonts w:ascii="Traditional Arabic" w:hAnsi="Traditional Arabic" w:cs="Traditional Arabic" w:hint="cs"/>
          <w:sz w:val="32"/>
          <w:szCs w:val="32"/>
          <w:rtl/>
          <w:lang w:bidi="ar-DZ"/>
        </w:rPr>
        <w:t xml:space="preserve">على اعتماد إطار ينظم إصدار السندات للدول الأعضاء وبنوكها المركزية، بهدف تعزيز قدرة الصندوق على تأمين الموارد المالية الكافية وزيادة قدرته على تقديم مساعدات سريعة للدول الأعضاء عند الحاجة لتمكينها من التصدي المباشر لآثار الأزمة المالية العالمية ودعم مشاريع الاستثمار. ويمكن للصندوق البدء في إصدار هذه السندات التي تحسب على أساس حقوق السحب الخاصة بعد إبرام أول اتفاقية لشراء السندات مع أي بلد عضو، والذي بمجرد شرائه لهذه السندات </w:t>
      </w:r>
      <w:r w:rsidRPr="002C2180">
        <w:rPr>
          <w:rFonts w:ascii="Traditional Arabic" w:hAnsi="Traditional Arabic" w:cs="Traditional Arabic" w:hint="cs"/>
          <w:sz w:val="32"/>
          <w:szCs w:val="32"/>
          <w:rtl/>
          <w:lang w:bidi="ar-DZ"/>
        </w:rPr>
        <w:lastRenderedPageBreak/>
        <w:t xml:space="preserve">تصبح قابلة </w:t>
      </w:r>
      <w:r w:rsidR="00E32B81">
        <w:rPr>
          <w:rFonts w:ascii="Traditional Arabic" w:hAnsi="Traditional Arabic" w:cs="Traditional Arabic" w:hint="cs"/>
          <w:sz w:val="32"/>
          <w:szCs w:val="32"/>
          <w:rtl/>
          <w:lang w:bidi="ar-DZ"/>
        </w:rPr>
        <w:t>ل</w:t>
      </w:r>
      <w:r w:rsidRPr="002C2180">
        <w:rPr>
          <w:rFonts w:ascii="Traditional Arabic" w:hAnsi="Traditional Arabic" w:cs="Traditional Arabic" w:hint="cs"/>
          <w:sz w:val="32"/>
          <w:szCs w:val="32"/>
          <w:rtl/>
          <w:lang w:bidi="ar-DZ"/>
        </w:rPr>
        <w:t>لتداول في القطاع الرسمي على أن يلتزم بتسديد مدفوعات الفائدة على أساس ربع سنوي حسب سعر الفائدة الرسمي على حقوق السحب الخاصة</w:t>
      </w:r>
      <w:r w:rsidRPr="002C2180">
        <w:rPr>
          <w:rStyle w:val="Appelnotedebasdep"/>
          <w:rFonts w:ascii="Traditional Arabic" w:hAnsi="Traditional Arabic" w:cs="Traditional Arabic"/>
          <w:sz w:val="32"/>
          <w:szCs w:val="32"/>
          <w:rtl/>
          <w:lang w:bidi="ar-DZ"/>
        </w:rPr>
        <w:footnoteReference w:id="57"/>
      </w:r>
      <w:r w:rsidRPr="002C2180">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spacing w:after="0"/>
        <w:jc w:val="both"/>
        <w:rPr>
          <w:rFonts w:ascii="Traditional Arabic" w:hAnsi="Traditional Arabic" w:cs="Traditional Arabic"/>
          <w:b/>
          <w:bCs/>
          <w:sz w:val="32"/>
          <w:szCs w:val="32"/>
          <w:rtl/>
          <w:lang w:bidi="ar-DZ"/>
        </w:rPr>
      </w:pPr>
      <w:r w:rsidRPr="002C2180">
        <w:rPr>
          <w:rFonts w:ascii="Traditional Arabic" w:hAnsi="Traditional Arabic" w:cs="Traditional Arabic" w:hint="cs"/>
          <w:b/>
          <w:bCs/>
          <w:sz w:val="24"/>
          <w:szCs w:val="24"/>
          <w:rtl/>
          <w:lang w:bidi="ar-DZ"/>
        </w:rPr>
        <w:t xml:space="preserve">2- </w:t>
      </w:r>
      <w:r w:rsidRPr="002C2180">
        <w:rPr>
          <w:rFonts w:ascii="Traditional Arabic" w:hAnsi="Traditional Arabic" w:cs="Traditional Arabic" w:hint="cs"/>
          <w:b/>
          <w:bCs/>
          <w:sz w:val="32"/>
          <w:szCs w:val="32"/>
          <w:rtl/>
          <w:lang w:bidi="ar-DZ"/>
        </w:rPr>
        <w:t xml:space="preserve">إعادة تخصيص حقوق السحب الخاصة: </w:t>
      </w:r>
    </w:p>
    <w:p w:rsidR="003E2A9E" w:rsidRPr="002C2180" w:rsidRDefault="003E2A9E" w:rsidP="00CD2223">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w:t>
      </w:r>
      <w:r w:rsidR="00FD620A">
        <w:rPr>
          <w:rFonts w:ascii="Traditional Arabic" w:hAnsi="Traditional Arabic" w:cs="Traditional Arabic" w:hint="cs"/>
          <w:sz w:val="32"/>
          <w:szCs w:val="32"/>
          <w:rtl/>
          <w:lang w:bidi="ar-DZ"/>
        </w:rPr>
        <w:t xml:space="preserve">جاء ذلك بعد اجتماع قمة العشرين </w:t>
      </w:r>
      <w:r w:rsidR="001D4A1F">
        <w:rPr>
          <w:rFonts w:ascii="Traditional Arabic" w:hAnsi="Traditional Arabic" w:cs="Traditional Arabic" w:hint="cs"/>
          <w:sz w:val="32"/>
          <w:szCs w:val="32"/>
          <w:rtl/>
          <w:lang w:bidi="ar-DZ"/>
        </w:rPr>
        <w:t>ب</w:t>
      </w:r>
      <w:r w:rsidR="00FD620A">
        <w:rPr>
          <w:rFonts w:ascii="Traditional Arabic" w:hAnsi="Traditional Arabic" w:cs="Traditional Arabic" w:hint="cs"/>
          <w:sz w:val="32"/>
          <w:szCs w:val="32"/>
          <w:rtl/>
          <w:lang w:bidi="ar-DZ"/>
        </w:rPr>
        <w:t xml:space="preserve">مدينة لندن في أفريل </w:t>
      </w:r>
      <w:r w:rsidR="00FD620A" w:rsidRPr="00816395">
        <w:rPr>
          <w:rFonts w:ascii="Traditional Arabic" w:hAnsi="Traditional Arabic" w:cs="Traditional Arabic" w:hint="cs"/>
          <w:sz w:val="24"/>
          <w:szCs w:val="24"/>
          <w:rtl/>
          <w:lang w:bidi="ar-DZ"/>
        </w:rPr>
        <w:t>2009</w:t>
      </w:r>
      <w:r w:rsidR="00A23800" w:rsidRPr="00A23800">
        <w:rPr>
          <w:rFonts w:ascii="Traditional Arabic" w:hAnsi="Traditional Arabic" w:cs="Traditional Arabic" w:hint="cs"/>
          <w:sz w:val="32"/>
          <w:szCs w:val="32"/>
          <w:rtl/>
          <w:lang w:bidi="ar-DZ"/>
        </w:rPr>
        <w:t>، و</w:t>
      </w:r>
      <w:r w:rsidR="00923EA7" w:rsidRPr="00A23800">
        <w:rPr>
          <w:rFonts w:ascii="Traditional Arabic" w:hAnsi="Traditional Arabic" w:cs="Traditional Arabic" w:hint="cs"/>
          <w:sz w:val="32"/>
          <w:szCs w:val="32"/>
          <w:rtl/>
          <w:lang w:bidi="ar-DZ"/>
        </w:rPr>
        <w:t>التي</w:t>
      </w:r>
      <w:r w:rsidR="00923EA7">
        <w:rPr>
          <w:rFonts w:ascii="Traditional Arabic" w:hAnsi="Traditional Arabic" w:cs="Traditional Arabic" w:hint="cs"/>
          <w:sz w:val="32"/>
          <w:szCs w:val="32"/>
          <w:rtl/>
          <w:lang w:bidi="ar-DZ"/>
        </w:rPr>
        <w:t xml:space="preserve"> اعتمدت خطة دعم قيم</w:t>
      </w:r>
      <w:r w:rsidR="00FD620A">
        <w:rPr>
          <w:rFonts w:ascii="Traditional Arabic" w:hAnsi="Traditional Arabic" w:cs="Traditional Arabic" w:hint="cs"/>
          <w:sz w:val="32"/>
          <w:szCs w:val="32"/>
          <w:rtl/>
          <w:lang w:bidi="ar-DZ"/>
        </w:rPr>
        <w:t xml:space="preserve">تها </w:t>
      </w:r>
      <w:r w:rsidR="00FD620A" w:rsidRPr="00816395">
        <w:rPr>
          <w:rFonts w:ascii="Traditional Arabic" w:hAnsi="Traditional Arabic" w:cs="Traditional Arabic" w:hint="cs"/>
          <w:sz w:val="24"/>
          <w:szCs w:val="24"/>
          <w:rtl/>
          <w:lang w:bidi="ar-DZ"/>
        </w:rPr>
        <w:t xml:space="preserve">1.1 </w:t>
      </w:r>
      <w:r w:rsidR="00FD620A">
        <w:rPr>
          <w:rFonts w:ascii="Traditional Arabic" w:hAnsi="Traditional Arabic" w:cs="Traditional Arabic" w:hint="cs"/>
          <w:sz w:val="32"/>
          <w:szCs w:val="32"/>
          <w:rtl/>
          <w:lang w:bidi="ar-DZ"/>
        </w:rPr>
        <w:t>تريليون دولار من أجل معالجة الأزمة المالية العالمية</w:t>
      </w:r>
      <w:r w:rsidR="00816395">
        <w:rPr>
          <w:rStyle w:val="Appelnotedebasdep"/>
          <w:rFonts w:ascii="Traditional Arabic" w:hAnsi="Traditional Arabic" w:cs="Traditional Arabic"/>
          <w:sz w:val="32"/>
          <w:szCs w:val="32"/>
          <w:rtl/>
          <w:lang w:bidi="ar-DZ"/>
        </w:rPr>
        <w:footnoteReference w:id="58"/>
      </w:r>
      <w:r w:rsidR="00FD620A">
        <w:rPr>
          <w:rFonts w:ascii="Traditional Arabic" w:hAnsi="Traditional Arabic" w:cs="Traditional Arabic" w:hint="cs"/>
          <w:sz w:val="32"/>
          <w:szCs w:val="32"/>
          <w:rtl/>
          <w:lang w:bidi="ar-DZ"/>
        </w:rPr>
        <w:t>، وبذلك</w:t>
      </w:r>
      <w:r w:rsidRPr="002C2180">
        <w:rPr>
          <w:rFonts w:ascii="Traditional Arabic" w:hAnsi="Traditional Arabic" w:cs="Traditional Arabic" w:hint="cs"/>
          <w:sz w:val="32"/>
          <w:szCs w:val="32"/>
          <w:rtl/>
          <w:lang w:bidi="ar-DZ"/>
        </w:rPr>
        <w:t xml:space="preserve"> وافق المجلس التنفيذي لصندوق النقد الدولي في </w:t>
      </w:r>
      <w:r w:rsidRPr="002C2180">
        <w:rPr>
          <w:rFonts w:ascii="Traditional Arabic" w:hAnsi="Traditional Arabic" w:cs="Traditional Arabic" w:hint="cs"/>
          <w:sz w:val="24"/>
          <w:szCs w:val="24"/>
          <w:rtl/>
          <w:lang w:bidi="ar-DZ"/>
        </w:rPr>
        <w:t xml:space="preserve">7 </w:t>
      </w:r>
      <w:r w:rsidRPr="002C2180">
        <w:rPr>
          <w:rFonts w:ascii="Traditional Arabic" w:hAnsi="Traditional Arabic" w:cs="Traditional Arabic" w:hint="cs"/>
          <w:sz w:val="32"/>
          <w:szCs w:val="32"/>
          <w:rtl/>
          <w:lang w:bidi="ar-DZ"/>
        </w:rPr>
        <w:t xml:space="preserve">أوت </w:t>
      </w:r>
      <w:r w:rsidRPr="002C2180">
        <w:rPr>
          <w:rFonts w:ascii="Traditional Arabic" w:hAnsi="Traditional Arabic" w:cs="Traditional Arabic" w:hint="cs"/>
          <w:sz w:val="24"/>
          <w:szCs w:val="24"/>
          <w:rtl/>
          <w:lang w:bidi="ar-DZ"/>
        </w:rPr>
        <w:t xml:space="preserve">2009 </w:t>
      </w:r>
      <w:r w:rsidRPr="002C2180">
        <w:rPr>
          <w:rFonts w:ascii="Traditional Arabic" w:hAnsi="Traditional Arabic" w:cs="Traditional Arabic" w:hint="cs"/>
          <w:sz w:val="32"/>
          <w:szCs w:val="32"/>
          <w:rtl/>
          <w:lang w:bidi="ar-DZ"/>
        </w:rPr>
        <w:t xml:space="preserve">على تخصيص وحدات حقوق السحب الخاصة للبلدان الأعضاء بقيمة </w:t>
      </w:r>
      <w:r w:rsidRPr="002C2180">
        <w:rPr>
          <w:rFonts w:ascii="Traditional Arabic" w:hAnsi="Traditional Arabic" w:cs="Traditional Arabic" w:hint="cs"/>
          <w:sz w:val="24"/>
          <w:szCs w:val="24"/>
          <w:rtl/>
          <w:lang w:bidi="ar-DZ"/>
        </w:rPr>
        <w:t xml:space="preserve">250 </w:t>
      </w:r>
      <w:r w:rsidRPr="002C2180">
        <w:rPr>
          <w:rFonts w:ascii="Traditional Arabic" w:hAnsi="Traditional Arabic" w:cs="Traditional Arabic" w:hint="cs"/>
          <w:sz w:val="32"/>
          <w:szCs w:val="32"/>
          <w:rtl/>
          <w:lang w:bidi="ar-DZ"/>
        </w:rPr>
        <w:t xml:space="preserve">مليار دولار بهدف ضخ السيولة في النظام الاقتصادي العالمي من خلال تعزيز احتياطات هذه البلدان من النقد الأجنبي، حيث ستحصل الدول النامية على ما يعادل </w:t>
      </w:r>
      <w:r w:rsidRPr="002C2180">
        <w:rPr>
          <w:rFonts w:ascii="Traditional Arabic" w:hAnsi="Traditional Arabic" w:cs="Traditional Arabic" w:hint="cs"/>
          <w:sz w:val="24"/>
          <w:szCs w:val="24"/>
          <w:rtl/>
          <w:lang w:bidi="ar-DZ"/>
        </w:rPr>
        <w:t xml:space="preserve">100 </w:t>
      </w:r>
      <w:r w:rsidRPr="002C2180">
        <w:rPr>
          <w:rFonts w:ascii="Traditional Arabic" w:hAnsi="Traditional Arabic" w:cs="Traditional Arabic" w:hint="cs"/>
          <w:sz w:val="32"/>
          <w:szCs w:val="32"/>
          <w:rtl/>
          <w:lang w:bidi="ar-DZ"/>
        </w:rPr>
        <w:t xml:space="preserve">مليار دولار منها أكثر من </w:t>
      </w:r>
      <w:r w:rsidRPr="002C2180">
        <w:rPr>
          <w:rFonts w:ascii="Traditional Arabic" w:hAnsi="Traditional Arabic" w:cs="Traditional Arabic" w:hint="cs"/>
          <w:sz w:val="24"/>
          <w:szCs w:val="24"/>
          <w:rtl/>
          <w:lang w:bidi="ar-DZ"/>
        </w:rPr>
        <w:t xml:space="preserve">18 </w:t>
      </w:r>
      <w:r w:rsidRPr="002C2180">
        <w:rPr>
          <w:rFonts w:ascii="Traditional Arabic" w:hAnsi="Traditional Arabic" w:cs="Traditional Arabic" w:hint="cs"/>
          <w:sz w:val="32"/>
          <w:szCs w:val="32"/>
          <w:rtl/>
          <w:lang w:bidi="ar-DZ"/>
        </w:rPr>
        <w:t xml:space="preserve">مليار دولار للدول منخفضة الدخل ابتداءا من </w:t>
      </w:r>
      <w:r w:rsidRPr="002C2180">
        <w:rPr>
          <w:rFonts w:ascii="Traditional Arabic" w:hAnsi="Traditional Arabic" w:cs="Traditional Arabic" w:hint="cs"/>
          <w:sz w:val="24"/>
          <w:szCs w:val="24"/>
          <w:rtl/>
          <w:lang w:bidi="ar-DZ"/>
        </w:rPr>
        <w:t xml:space="preserve">28 </w:t>
      </w:r>
      <w:r w:rsidRPr="002C2180">
        <w:rPr>
          <w:rFonts w:ascii="Traditional Arabic" w:hAnsi="Traditional Arabic" w:cs="Traditional Arabic" w:hint="cs"/>
          <w:sz w:val="32"/>
          <w:szCs w:val="32"/>
          <w:rtl/>
          <w:lang w:bidi="ar-DZ"/>
        </w:rPr>
        <w:t xml:space="preserve">أوت </w:t>
      </w:r>
      <w:r w:rsidRPr="002C2180">
        <w:rPr>
          <w:rFonts w:ascii="Traditional Arabic" w:hAnsi="Traditional Arabic" w:cs="Traditional Arabic" w:hint="cs"/>
          <w:sz w:val="24"/>
          <w:szCs w:val="24"/>
          <w:rtl/>
          <w:lang w:bidi="ar-DZ"/>
        </w:rPr>
        <w:t xml:space="preserve">2009 </w:t>
      </w:r>
      <w:r w:rsidRPr="002C2180">
        <w:rPr>
          <w:rFonts w:ascii="Traditional Arabic" w:hAnsi="Traditional Arabic" w:cs="Traditional Arabic" w:hint="cs"/>
          <w:sz w:val="32"/>
          <w:szCs w:val="32"/>
          <w:rtl/>
          <w:lang w:bidi="ar-DZ"/>
        </w:rPr>
        <w:t xml:space="preserve">بعد أن يحظى القرار بمصادقة الأغلبية </w:t>
      </w:r>
      <w:r w:rsidRPr="002C2180">
        <w:rPr>
          <w:rFonts w:ascii="Traditional Arabic" w:hAnsi="Traditional Arabic" w:cs="Traditional Arabic" w:hint="cs"/>
          <w:sz w:val="24"/>
          <w:szCs w:val="24"/>
          <w:rtl/>
          <w:lang w:bidi="ar-DZ"/>
        </w:rPr>
        <w:t>85</w:t>
      </w:r>
      <w:r w:rsidRPr="002C2180">
        <w:rPr>
          <w:rFonts w:ascii="Traditional Arabic" w:hAnsi="Traditional Arabic" w:cs="Traditional Arabic"/>
          <w:sz w:val="24"/>
          <w:szCs w:val="24"/>
          <w:rtl/>
          <w:lang w:bidi="ar-DZ"/>
        </w:rPr>
        <w:t>%</w:t>
      </w:r>
      <w:r w:rsidRPr="002C2180">
        <w:rPr>
          <w:rFonts w:ascii="Traditional Arabic" w:hAnsi="Traditional Arabic" w:cs="Traditional Arabic" w:hint="cs"/>
          <w:sz w:val="24"/>
          <w:szCs w:val="24"/>
          <w:rtl/>
          <w:lang w:bidi="ar-DZ"/>
        </w:rPr>
        <w:t xml:space="preserve"> </w:t>
      </w:r>
      <w:r w:rsidRPr="002C2180">
        <w:rPr>
          <w:rFonts w:ascii="Traditional Arabic" w:hAnsi="Traditional Arabic" w:cs="Traditional Arabic" w:hint="cs"/>
          <w:sz w:val="32"/>
          <w:szCs w:val="32"/>
          <w:rtl/>
          <w:lang w:bidi="ar-DZ"/>
        </w:rPr>
        <w:t>من الأصوات.</w:t>
      </w:r>
      <w:r w:rsidR="00A23800">
        <w:rPr>
          <w:rFonts w:ascii="Traditional Arabic" w:hAnsi="Traditional Arabic" w:cs="Traditional Arabic" w:hint="cs"/>
          <w:sz w:val="32"/>
          <w:szCs w:val="32"/>
          <w:rtl/>
          <w:lang w:bidi="ar-DZ"/>
        </w:rPr>
        <w:t xml:space="preserve">  </w:t>
      </w:r>
    </w:p>
    <w:p w:rsidR="0041174C" w:rsidRDefault="002C2180" w:rsidP="00AA0DC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32"/>
          <w:szCs w:val="32"/>
          <w:rtl/>
          <w:lang w:bidi="ar-DZ"/>
        </w:rPr>
        <w:t xml:space="preserve"> وتسمح عمليات التخصيص للدول الأعضاء ببيع مخصصاتها كليا أو جزئيا إلى دول أخرى بالعملة الصعبة لتلبية احتياجات ميزان المدفوعات، أو شراء المزيد من حقوق السحب الخاصة كوسيلة لإعادة توزيع احتياطاتها. وتجدر الإشارة إلى أن عملية التخصيص هذه تتم بالتناسب مع حصص العض</w:t>
      </w:r>
      <w:r w:rsidR="00317C4F">
        <w:rPr>
          <w:rFonts w:ascii="Traditional Arabic" w:hAnsi="Traditional Arabic" w:cs="Traditional Arabic" w:hint="cs"/>
          <w:sz w:val="32"/>
          <w:szCs w:val="32"/>
          <w:rtl/>
          <w:lang w:bidi="ar-DZ"/>
        </w:rPr>
        <w:t xml:space="preserve">وية </w:t>
      </w:r>
      <w:r w:rsidR="003E2A9E" w:rsidRPr="002C2180">
        <w:rPr>
          <w:rFonts w:ascii="Traditional Arabic" w:hAnsi="Traditional Arabic" w:cs="Traditional Arabic" w:hint="cs"/>
          <w:sz w:val="32"/>
          <w:szCs w:val="32"/>
          <w:rtl/>
          <w:lang w:bidi="ar-DZ"/>
        </w:rPr>
        <w:t xml:space="preserve">لكل بلد، وأنها تسمح بتزويد كل بلد من حقوق السحب الخاصة بحوالي </w:t>
      </w:r>
      <w:r w:rsidR="003E2A9E" w:rsidRPr="002C2180">
        <w:rPr>
          <w:rFonts w:ascii="Traditional Arabic" w:hAnsi="Traditional Arabic" w:cs="Traditional Arabic" w:hint="cs"/>
          <w:sz w:val="24"/>
          <w:szCs w:val="24"/>
          <w:rtl/>
          <w:lang w:bidi="ar-DZ"/>
        </w:rPr>
        <w:t>74</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hint="cs"/>
          <w:sz w:val="24"/>
          <w:szCs w:val="24"/>
          <w:rtl/>
          <w:lang w:bidi="ar-DZ"/>
        </w:rPr>
        <w:t xml:space="preserve"> </w:t>
      </w:r>
      <w:r w:rsidR="003E2A9E" w:rsidRPr="002C2180">
        <w:rPr>
          <w:rFonts w:ascii="Traditional Arabic" w:hAnsi="Traditional Arabic" w:cs="Traditional Arabic" w:hint="cs"/>
          <w:sz w:val="32"/>
          <w:szCs w:val="32"/>
          <w:rtl/>
          <w:lang w:bidi="ar-DZ"/>
        </w:rPr>
        <w:t xml:space="preserve">من حصته، مما يؤدي إلى زيادة مخصصات الدول الأعضاء من حوالي </w:t>
      </w:r>
      <w:r w:rsidR="003E2A9E" w:rsidRPr="002C2180">
        <w:rPr>
          <w:rFonts w:ascii="Traditional Arabic" w:hAnsi="Traditional Arabic" w:cs="Traditional Arabic" w:hint="cs"/>
          <w:sz w:val="24"/>
          <w:szCs w:val="24"/>
          <w:rtl/>
          <w:lang w:bidi="ar-DZ"/>
        </w:rPr>
        <w:t xml:space="preserve">33 </w:t>
      </w:r>
      <w:r w:rsidR="003E2A9E" w:rsidRPr="002C2180">
        <w:rPr>
          <w:rFonts w:ascii="Traditional Arabic" w:hAnsi="Traditional Arabic" w:cs="Traditional Arabic" w:hint="cs"/>
          <w:sz w:val="32"/>
          <w:szCs w:val="32"/>
          <w:rtl/>
          <w:lang w:bidi="ar-DZ"/>
        </w:rPr>
        <w:t>مليار دولار (</w:t>
      </w:r>
      <w:r w:rsidR="003E2A9E" w:rsidRPr="002C2180">
        <w:rPr>
          <w:rFonts w:ascii="Traditional Arabic" w:hAnsi="Traditional Arabic" w:cs="Traditional Arabic" w:hint="cs"/>
          <w:sz w:val="24"/>
          <w:szCs w:val="24"/>
          <w:rtl/>
          <w:lang w:bidi="ar-DZ"/>
        </w:rPr>
        <w:t>21.4</w:t>
      </w:r>
      <w:r w:rsidR="003E2A9E" w:rsidRPr="002C2180">
        <w:rPr>
          <w:rFonts w:ascii="Traditional Arabic" w:hAnsi="Traditional Arabic" w:cs="Traditional Arabic" w:hint="cs"/>
          <w:sz w:val="32"/>
          <w:szCs w:val="32"/>
          <w:rtl/>
          <w:lang w:bidi="ar-DZ"/>
        </w:rPr>
        <w:t xml:space="preserve"> مليار وحدة حقوق السحب الخاصة) إلى ما يعادل </w:t>
      </w:r>
      <w:r w:rsidR="003E2A9E" w:rsidRPr="002C2180">
        <w:rPr>
          <w:rFonts w:ascii="Traditional Arabic" w:hAnsi="Traditional Arabic" w:cs="Traditional Arabic" w:hint="cs"/>
          <w:sz w:val="24"/>
          <w:szCs w:val="24"/>
          <w:rtl/>
          <w:lang w:bidi="ar-DZ"/>
        </w:rPr>
        <w:t xml:space="preserve">283 </w:t>
      </w:r>
      <w:r w:rsidR="003E2A9E" w:rsidRPr="002C2180">
        <w:rPr>
          <w:rFonts w:ascii="Traditional Arabic" w:hAnsi="Traditional Arabic" w:cs="Traditional Arabic" w:hint="cs"/>
          <w:sz w:val="32"/>
          <w:szCs w:val="32"/>
          <w:rtl/>
          <w:lang w:bidi="ar-DZ"/>
        </w:rPr>
        <w:t xml:space="preserve">مليار دولار أمريكي. ويعتبر البعض أن عملية التوزيع هذه تتسم بالدقة والتكافؤ لأنها تسمح </w:t>
      </w:r>
      <w:r w:rsidR="00AA0DC7">
        <w:rPr>
          <w:rFonts w:ascii="Traditional Arabic" w:hAnsi="Traditional Arabic" w:cs="Traditional Arabic" w:hint="cs"/>
          <w:sz w:val="32"/>
          <w:szCs w:val="32"/>
          <w:rtl/>
          <w:lang w:bidi="ar-DZ"/>
        </w:rPr>
        <w:t>بأن تستفيد منها</w:t>
      </w:r>
      <w:r w:rsidR="003E2A9E" w:rsidRPr="002C2180">
        <w:rPr>
          <w:rFonts w:ascii="Traditional Arabic" w:hAnsi="Traditional Arabic" w:cs="Traditional Arabic" w:hint="cs"/>
          <w:sz w:val="32"/>
          <w:szCs w:val="32"/>
          <w:rtl/>
          <w:lang w:bidi="ar-DZ"/>
        </w:rPr>
        <w:t xml:space="preserve"> الدول المنظمة للصندوق بعد عام </w:t>
      </w:r>
      <w:r w:rsidR="003E2A9E" w:rsidRPr="002C2180">
        <w:rPr>
          <w:rFonts w:ascii="Traditional Arabic" w:hAnsi="Traditional Arabic" w:cs="Traditional Arabic" w:hint="cs"/>
          <w:sz w:val="24"/>
          <w:szCs w:val="24"/>
          <w:rtl/>
          <w:lang w:bidi="ar-DZ"/>
        </w:rPr>
        <w:t xml:space="preserve">1981 </w:t>
      </w:r>
      <w:r w:rsidR="003E2A9E" w:rsidRPr="002C2180">
        <w:rPr>
          <w:rFonts w:ascii="Traditional Arabic" w:hAnsi="Traditional Arabic" w:cs="Traditional Arabic" w:hint="cs"/>
          <w:sz w:val="32"/>
          <w:szCs w:val="32"/>
          <w:rtl/>
          <w:lang w:bidi="ar-DZ"/>
        </w:rPr>
        <w:t>والتي تشكل أكثر من خمس الأعضاء الحاليين للصندوق، كما أنها تجسد مثالا للتعاون الدولي لمواجهة الأزمة</w:t>
      </w:r>
      <w:r w:rsidR="003E2A9E" w:rsidRPr="002C2180">
        <w:rPr>
          <w:rStyle w:val="Appelnotedebasdep"/>
          <w:rFonts w:ascii="Traditional Arabic" w:hAnsi="Traditional Arabic" w:cs="Traditional Arabic"/>
          <w:sz w:val="32"/>
          <w:szCs w:val="32"/>
          <w:rtl/>
          <w:lang w:bidi="ar-DZ"/>
        </w:rPr>
        <w:footnoteReference w:id="59"/>
      </w:r>
      <w:r w:rsidR="003E2A9E" w:rsidRPr="002C2180">
        <w:rPr>
          <w:rFonts w:ascii="Traditional Arabic" w:hAnsi="Traditional Arabic" w:cs="Traditional Arabic" w:hint="cs"/>
          <w:sz w:val="32"/>
          <w:szCs w:val="32"/>
          <w:rtl/>
          <w:lang w:bidi="ar-DZ"/>
        </w:rPr>
        <w:t xml:space="preserve">. </w:t>
      </w:r>
    </w:p>
    <w:p w:rsidR="003460E8" w:rsidRPr="002C2180" w:rsidRDefault="0041174C" w:rsidP="0041174C">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1F30E4">
        <w:rPr>
          <w:rFonts w:ascii="Traditional Arabic" w:hAnsi="Traditional Arabic" w:cs="Traditional Arabic" w:hint="cs"/>
          <w:sz w:val="32"/>
          <w:szCs w:val="32"/>
          <w:rtl/>
          <w:lang w:bidi="ar-DZ"/>
        </w:rPr>
        <w:t xml:space="preserve"> </w:t>
      </w:r>
      <w:r w:rsidR="003460E8">
        <w:rPr>
          <w:rFonts w:ascii="Traditional Arabic" w:hAnsi="Traditional Arabic" w:cs="Traditional Arabic" w:hint="cs"/>
          <w:sz w:val="32"/>
          <w:szCs w:val="32"/>
          <w:rtl/>
          <w:lang w:bidi="ar-DZ"/>
        </w:rPr>
        <w:t xml:space="preserve">كما تعهد زعماء </w:t>
      </w:r>
      <w:r w:rsidR="00891B4E">
        <w:rPr>
          <w:rFonts w:ascii="Traditional Arabic" w:hAnsi="Traditional Arabic" w:cs="Traditional Arabic" w:hint="cs"/>
          <w:sz w:val="32"/>
          <w:szCs w:val="32"/>
          <w:rtl/>
          <w:lang w:bidi="ar-DZ"/>
        </w:rPr>
        <w:t>مجموعة العشرين</w:t>
      </w:r>
      <w:r w:rsidR="001F4E35">
        <w:rPr>
          <w:rFonts w:ascii="Traditional Arabic" w:hAnsi="Traditional Arabic" w:cs="Traditional Arabic" w:hint="cs"/>
          <w:sz w:val="32"/>
          <w:szCs w:val="32"/>
          <w:rtl/>
          <w:lang w:bidi="ar-DZ"/>
        </w:rPr>
        <w:t xml:space="preserve"> </w:t>
      </w:r>
      <w:r w:rsidR="003460E8">
        <w:rPr>
          <w:rFonts w:ascii="Traditional Arabic" w:hAnsi="Traditional Arabic" w:cs="Traditional Arabic" w:hint="cs"/>
          <w:sz w:val="32"/>
          <w:szCs w:val="32"/>
          <w:rtl/>
          <w:lang w:bidi="ar-DZ"/>
        </w:rPr>
        <w:t xml:space="preserve">بضمان المحافظة </w:t>
      </w:r>
      <w:r w:rsidR="00C73714">
        <w:rPr>
          <w:rFonts w:ascii="Traditional Arabic" w:hAnsi="Traditional Arabic" w:cs="Traditional Arabic" w:hint="cs"/>
          <w:sz w:val="32"/>
          <w:szCs w:val="32"/>
          <w:rtl/>
          <w:lang w:bidi="ar-DZ"/>
        </w:rPr>
        <w:t xml:space="preserve">على كفاية موارد صندوق النقد الدولي، حتى لو انتهت الأزمة إلى ما هو أعمق </w:t>
      </w:r>
      <w:r w:rsidR="00891B4E">
        <w:rPr>
          <w:rFonts w:ascii="Traditional Arabic" w:hAnsi="Traditional Arabic" w:cs="Traditional Arabic" w:hint="cs"/>
          <w:sz w:val="32"/>
          <w:szCs w:val="32"/>
          <w:rtl/>
          <w:lang w:bidi="ar-DZ"/>
        </w:rPr>
        <w:t>وأطول مما كان متوقعا،</w:t>
      </w:r>
      <w:r w:rsidR="00670D34">
        <w:rPr>
          <w:rFonts w:ascii="Traditional Arabic" w:hAnsi="Traditional Arabic" w:cs="Traditional Arabic" w:hint="cs"/>
          <w:sz w:val="32"/>
          <w:szCs w:val="32"/>
          <w:rtl/>
          <w:lang w:bidi="ar-DZ"/>
        </w:rPr>
        <w:t xml:space="preserve"> واتفق</w:t>
      </w:r>
      <w:r w:rsidR="005A27BB">
        <w:rPr>
          <w:rFonts w:ascii="Traditional Arabic" w:hAnsi="Traditional Arabic" w:cs="Traditional Arabic" w:hint="cs"/>
          <w:sz w:val="32"/>
          <w:szCs w:val="32"/>
          <w:rtl/>
          <w:lang w:bidi="ar-DZ"/>
        </w:rPr>
        <w:t>وا</w:t>
      </w:r>
      <w:r w:rsidR="00670D34">
        <w:rPr>
          <w:rFonts w:ascii="Traditional Arabic" w:hAnsi="Traditional Arabic" w:cs="Traditional Arabic" w:hint="cs"/>
          <w:sz w:val="32"/>
          <w:szCs w:val="32"/>
          <w:rtl/>
          <w:lang w:bidi="ar-DZ"/>
        </w:rPr>
        <w:t xml:space="preserve"> على زيادة </w:t>
      </w:r>
      <w:r w:rsidR="009659B6">
        <w:rPr>
          <w:rFonts w:ascii="Traditional Arabic" w:hAnsi="Traditional Arabic" w:cs="Traditional Arabic" w:hint="cs"/>
          <w:sz w:val="32"/>
          <w:szCs w:val="32"/>
          <w:rtl/>
          <w:lang w:bidi="ar-DZ"/>
        </w:rPr>
        <w:t>موارد</w:t>
      </w:r>
      <w:r w:rsidR="001A5394">
        <w:rPr>
          <w:rFonts w:ascii="Traditional Arabic" w:hAnsi="Traditional Arabic" w:cs="Traditional Arabic" w:hint="cs"/>
          <w:sz w:val="32"/>
          <w:szCs w:val="32"/>
          <w:rtl/>
          <w:lang w:bidi="ar-DZ"/>
        </w:rPr>
        <w:t xml:space="preserve"> ا</w:t>
      </w:r>
      <w:r w:rsidR="00670D34">
        <w:rPr>
          <w:rFonts w:ascii="Traditional Arabic" w:hAnsi="Traditional Arabic" w:cs="Traditional Arabic" w:hint="cs"/>
          <w:sz w:val="32"/>
          <w:szCs w:val="32"/>
          <w:rtl/>
          <w:lang w:bidi="ar-DZ"/>
        </w:rPr>
        <w:t xml:space="preserve">لصندوق بمقدار ثلاثة أضعاف </w:t>
      </w:r>
      <w:r w:rsidR="000015A2">
        <w:rPr>
          <w:rFonts w:ascii="Traditional Arabic" w:hAnsi="Traditional Arabic" w:cs="Traditional Arabic" w:hint="cs"/>
          <w:sz w:val="32"/>
          <w:szCs w:val="32"/>
          <w:rtl/>
          <w:lang w:bidi="ar-DZ"/>
        </w:rPr>
        <w:t>لتبلغ</w:t>
      </w:r>
      <w:r w:rsidR="00670D34">
        <w:rPr>
          <w:rFonts w:ascii="Traditional Arabic" w:hAnsi="Traditional Arabic" w:cs="Traditional Arabic" w:hint="cs"/>
          <w:sz w:val="32"/>
          <w:szCs w:val="32"/>
          <w:rtl/>
          <w:lang w:bidi="ar-DZ"/>
        </w:rPr>
        <w:t xml:space="preserve"> </w:t>
      </w:r>
      <w:r w:rsidR="00670D34" w:rsidRPr="00E92BA1">
        <w:rPr>
          <w:rFonts w:ascii="Traditional Arabic" w:hAnsi="Traditional Arabic" w:cs="Traditional Arabic" w:hint="cs"/>
          <w:sz w:val="24"/>
          <w:szCs w:val="24"/>
          <w:rtl/>
          <w:lang w:bidi="ar-DZ"/>
        </w:rPr>
        <w:t xml:space="preserve">750 </w:t>
      </w:r>
      <w:r w:rsidR="00670D34">
        <w:rPr>
          <w:rFonts w:ascii="Traditional Arabic" w:hAnsi="Traditional Arabic" w:cs="Traditional Arabic" w:hint="cs"/>
          <w:sz w:val="32"/>
          <w:szCs w:val="32"/>
          <w:rtl/>
          <w:lang w:bidi="ar-DZ"/>
        </w:rPr>
        <w:t>مليار دولار،</w:t>
      </w:r>
      <w:r w:rsidR="00780B80">
        <w:rPr>
          <w:rFonts w:ascii="Traditional Arabic" w:hAnsi="Traditional Arabic" w:cs="Traditional Arabic" w:hint="cs"/>
          <w:sz w:val="32"/>
          <w:szCs w:val="32"/>
          <w:rtl/>
          <w:lang w:bidi="ar-DZ"/>
        </w:rPr>
        <w:t xml:space="preserve"> </w:t>
      </w:r>
      <w:r w:rsidR="00A0752E">
        <w:rPr>
          <w:rFonts w:ascii="Traditional Arabic" w:hAnsi="Traditional Arabic" w:cs="Traditional Arabic" w:hint="cs"/>
          <w:sz w:val="32"/>
          <w:szCs w:val="32"/>
          <w:rtl/>
          <w:lang w:bidi="ar-DZ"/>
        </w:rPr>
        <w:t>و</w:t>
      </w:r>
      <w:r w:rsidR="00A4736F">
        <w:rPr>
          <w:rFonts w:ascii="Traditional Arabic" w:hAnsi="Traditional Arabic" w:cs="Traditional Arabic" w:hint="cs"/>
          <w:sz w:val="32"/>
          <w:szCs w:val="32"/>
          <w:rtl/>
          <w:lang w:bidi="ar-DZ"/>
        </w:rPr>
        <w:t>مضاعفة</w:t>
      </w:r>
      <w:r w:rsidR="00A0752E">
        <w:rPr>
          <w:rFonts w:ascii="Traditional Arabic" w:hAnsi="Traditional Arabic" w:cs="Traditional Arabic" w:hint="cs"/>
          <w:sz w:val="32"/>
          <w:szCs w:val="32"/>
          <w:rtl/>
          <w:lang w:bidi="ar-DZ"/>
        </w:rPr>
        <w:t xml:space="preserve"> الأموال المخصصة للإقراض الميسر</w:t>
      </w:r>
      <w:r w:rsidR="00670D34">
        <w:rPr>
          <w:rFonts w:ascii="Traditional Arabic" w:hAnsi="Traditional Arabic" w:cs="Traditional Arabic" w:hint="cs"/>
          <w:sz w:val="32"/>
          <w:szCs w:val="32"/>
          <w:rtl/>
          <w:lang w:bidi="ar-DZ"/>
        </w:rPr>
        <w:t xml:space="preserve"> للبلدان </w:t>
      </w:r>
      <w:r w:rsidR="005A27BB">
        <w:rPr>
          <w:rFonts w:ascii="Traditional Arabic" w:hAnsi="Traditional Arabic" w:cs="Traditional Arabic" w:hint="cs"/>
          <w:sz w:val="32"/>
          <w:szCs w:val="32"/>
          <w:rtl/>
          <w:lang w:bidi="ar-DZ"/>
        </w:rPr>
        <w:t>منخفضة</w:t>
      </w:r>
      <w:r w:rsidR="00670D34">
        <w:rPr>
          <w:rFonts w:ascii="Traditional Arabic" w:hAnsi="Traditional Arabic" w:cs="Traditional Arabic" w:hint="cs"/>
          <w:sz w:val="32"/>
          <w:szCs w:val="32"/>
          <w:rtl/>
          <w:lang w:bidi="ar-DZ"/>
        </w:rPr>
        <w:t xml:space="preserve"> الدخل</w:t>
      </w:r>
      <w:r w:rsidR="00CE4B1B">
        <w:rPr>
          <w:rStyle w:val="Appelnotedebasdep"/>
          <w:rFonts w:ascii="Traditional Arabic" w:hAnsi="Traditional Arabic" w:cs="Traditional Arabic"/>
          <w:sz w:val="32"/>
          <w:szCs w:val="32"/>
          <w:rtl/>
          <w:lang w:bidi="ar-DZ"/>
        </w:rPr>
        <w:footnoteReference w:id="60"/>
      </w:r>
      <w:r w:rsidR="00670D34">
        <w:rPr>
          <w:rFonts w:ascii="Traditional Arabic" w:hAnsi="Traditional Arabic" w:cs="Traditional Arabic" w:hint="cs"/>
          <w:sz w:val="32"/>
          <w:szCs w:val="32"/>
          <w:rtl/>
          <w:lang w:bidi="ar-DZ"/>
        </w:rPr>
        <w:t>.</w:t>
      </w:r>
      <w:r w:rsidR="00780B80">
        <w:rPr>
          <w:rFonts w:ascii="Traditional Arabic" w:hAnsi="Traditional Arabic" w:cs="Traditional Arabic" w:hint="cs"/>
          <w:sz w:val="32"/>
          <w:szCs w:val="32"/>
          <w:rtl/>
          <w:lang w:bidi="ar-DZ"/>
        </w:rPr>
        <w:t xml:space="preserve"> </w:t>
      </w:r>
      <w:r w:rsidR="00A62D96">
        <w:rPr>
          <w:rFonts w:ascii="Traditional Arabic" w:hAnsi="Traditional Arabic" w:cs="Traditional Arabic" w:hint="cs"/>
          <w:sz w:val="32"/>
          <w:szCs w:val="32"/>
          <w:rtl/>
          <w:lang w:bidi="ar-DZ"/>
        </w:rPr>
        <w:t xml:space="preserve"> </w:t>
      </w:r>
      <w:r w:rsidR="00891B4E">
        <w:rPr>
          <w:rFonts w:ascii="Traditional Arabic" w:hAnsi="Traditional Arabic" w:cs="Traditional Arabic" w:hint="cs"/>
          <w:sz w:val="32"/>
          <w:szCs w:val="32"/>
          <w:rtl/>
          <w:lang w:bidi="ar-DZ"/>
        </w:rPr>
        <w:t xml:space="preserve"> </w:t>
      </w:r>
      <w:r w:rsidR="005A27BB">
        <w:rPr>
          <w:rFonts w:ascii="Traditional Arabic" w:hAnsi="Traditional Arabic" w:cs="Traditional Arabic" w:hint="cs"/>
          <w:sz w:val="32"/>
          <w:szCs w:val="32"/>
          <w:rtl/>
          <w:lang w:bidi="ar-DZ"/>
        </w:rPr>
        <w:t xml:space="preserve"> </w:t>
      </w:r>
      <w:r w:rsidR="00A4736F">
        <w:rPr>
          <w:rFonts w:ascii="Traditional Arabic" w:hAnsi="Traditional Arabic" w:cs="Traditional Arabic" w:hint="cs"/>
          <w:sz w:val="32"/>
          <w:szCs w:val="32"/>
          <w:rtl/>
          <w:lang w:bidi="ar-DZ"/>
        </w:rPr>
        <w:t xml:space="preserve">  </w:t>
      </w:r>
      <w:r w:rsidR="00A0752E">
        <w:rPr>
          <w:rFonts w:ascii="Traditional Arabic" w:hAnsi="Traditional Arabic" w:cs="Traditional Arabic" w:hint="cs"/>
          <w:sz w:val="32"/>
          <w:szCs w:val="32"/>
          <w:rtl/>
          <w:lang w:bidi="ar-DZ"/>
        </w:rPr>
        <w:t xml:space="preserve"> </w:t>
      </w:r>
      <w:r w:rsidR="00A4736F">
        <w:rPr>
          <w:rFonts w:ascii="Traditional Arabic" w:hAnsi="Traditional Arabic" w:cs="Traditional Arabic" w:hint="cs"/>
          <w:sz w:val="32"/>
          <w:szCs w:val="32"/>
          <w:rtl/>
          <w:lang w:bidi="ar-DZ"/>
        </w:rPr>
        <w:t xml:space="preserve"> </w:t>
      </w:r>
      <w:r w:rsidR="0079134C">
        <w:rPr>
          <w:rFonts w:ascii="Traditional Arabic" w:hAnsi="Traditional Arabic" w:cs="Traditional Arabic" w:hint="cs"/>
          <w:sz w:val="32"/>
          <w:szCs w:val="32"/>
          <w:rtl/>
          <w:lang w:bidi="ar-DZ"/>
        </w:rPr>
        <w:t xml:space="preserve"> </w:t>
      </w:r>
      <w:r w:rsidR="00A4736F">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spacing w:after="0"/>
        <w:jc w:val="both"/>
        <w:rPr>
          <w:rFonts w:ascii="Traditional Arabic" w:hAnsi="Traditional Arabic" w:cs="Traditional Arabic"/>
          <w:b/>
          <w:bCs/>
          <w:sz w:val="32"/>
          <w:szCs w:val="32"/>
          <w:rtl/>
          <w:lang w:bidi="ar-DZ"/>
        </w:rPr>
      </w:pPr>
      <w:r w:rsidRPr="002C2180">
        <w:rPr>
          <w:rFonts w:ascii="Traditional Arabic" w:hAnsi="Traditional Arabic" w:cs="Traditional Arabic" w:hint="cs"/>
          <w:b/>
          <w:bCs/>
          <w:sz w:val="24"/>
          <w:szCs w:val="24"/>
          <w:rtl/>
          <w:lang w:bidi="ar-DZ"/>
        </w:rPr>
        <w:t xml:space="preserve">3- </w:t>
      </w:r>
      <w:r w:rsidRPr="002C2180">
        <w:rPr>
          <w:rFonts w:ascii="Traditional Arabic" w:hAnsi="Traditional Arabic" w:cs="Traditional Arabic" w:hint="cs"/>
          <w:b/>
          <w:bCs/>
          <w:sz w:val="32"/>
          <w:szCs w:val="32"/>
          <w:rtl/>
          <w:lang w:bidi="ar-DZ"/>
        </w:rPr>
        <w:t xml:space="preserve">إصلاح نظام الحصص والأصوات في الصندوق: </w:t>
      </w:r>
    </w:p>
    <w:p w:rsidR="003E2A9E" w:rsidRPr="002C2180" w:rsidRDefault="002C2180" w:rsidP="002C2180">
      <w:pPr>
        <w:tabs>
          <w:tab w:val="right" w:pos="565"/>
        </w:tabs>
        <w:bidi/>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32"/>
          <w:szCs w:val="32"/>
          <w:rtl/>
          <w:lang w:bidi="ar-DZ"/>
        </w:rPr>
        <w:t xml:space="preserve">اعتبر المجلس التنفيذي للصندوق أن قرار الإصلاح خطوة مهمة جدا، ويمثل تحولا ملموسا في مجال تمثيل الاقتصاديات الناشئة التي أصبح لها دورا محوريا في الاقتصاد العالمي، ويسمح بإدماج الدول النامية الفقيرة في عملية الإدارة متعددة الأطراف للصندوق وإعطائها صوتا أقوى في الصندوق، كما أن هذا الإصلاح يندرج في إطار المساعي الرامية إلى تعديل الهيكل الحالي للصندوق للتكيف مع معطيات الاقتصاد العالمي ذو الطابع الديناميكي المتغير.   </w:t>
      </w:r>
      <w:r w:rsidR="003E2A9E" w:rsidRPr="002C2180">
        <w:rPr>
          <w:rFonts w:ascii="Traditional Arabic" w:hAnsi="Traditional Arabic" w:cs="Traditional Arabic" w:hint="cs"/>
          <w:b/>
          <w:bCs/>
          <w:sz w:val="32"/>
          <w:szCs w:val="32"/>
          <w:rtl/>
          <w:lang w:bidi="ar-DZ"/>
        </w:rPr>
        <w:t xml:space="preserve">  </w:t>
      </w:r>
    </w:p>
    <w:p w:rsidR="003E2A9E" w:rsidRPr="002C2180" w:rsidRDefault="002C2180" w:rsidP="002C218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32"/>
          <w:szCs w:val="32"/>
          <w:rtl/>
          <w:lang w:bidi="ar-DZ"/>
        </w:rPr>
        <w:t xml:space="preserve">وفي هذا الإطار اقترح صندوق النقد الدولي صيغة جديدة لنظام الحصص تضمنت أربعة متغيرات هي إجمالي الناتج المحلي، الانفتاح، التغير والاحتياطات، وتبلغ أوزانها </w:t>
      </w:r>
      <w:r w:rsidR="003E2A9E" w:rsidRPr="002C2180">
        <w:rPr>
          <w:rFonts w:ascii="Traditional Arabic" w:hAnsi="Traditional Arabic" w:cs="Traditional Arabic" w:hint="cs"/>
          <w:sz w:val="24"/>
          <w:szCs w:val="24"/>
          <w:rtl/>
          <w:lang w:bidi="ar-DZ"/>
        </w:rPr>
        <w:t>50</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24"/>
          <w:szCs w:val="24"/>
          <w:rtl/>
          <w:lang w:bidi="ar-DZ"/>
        </w:rPr>
        <w:t>30</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24"/>
          <w:szCs w:val="24"/>
          <w:rtl/>
          <w:lang w:bidi="ar-DZ"/>
        </w:rPr>
        <w:t>15</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hint="cs"/>
          <w:sz w:val="32"/>
          <w:szCs w:val="32"/>
          <w:rtl/>
          <w:lang w:bidi="ar-DZ"/>
        </w:rPr>
        <w:t>، و</w:t>
      </w:r>
      <w:r w:rsidR="003E2A9E" w:rsidRPr="002C2180">
        <w:rPr>
          <w:rFonts w:ascii="Traditional Arabic" w:hAnsi="Traditional Arabic" w:cs="Traditional Arabic" w:hint="cs"/>
          <w:sz w:val="24"/>
          <w:szCs w:val="24"/>
          <w:rtl/>
          <w:lang w:bidi="ar-DZ"/>
        </w:rPr>
        <w:t>5</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sz w:val="24"/>
          <w:szCs w:val="24"/>
          <w:lang w:bidi="ar-DZ"/>
        </w:rPr>
        <w:t xml:space="preserve"> </w:t>
      </w:r>
      <w:r w:rsidR="003E2A9E" w:rsidRPr="002C2180">
        <w:rPr>
          <w:rFonts w:ascii="Traditional Arabic" w:hAnsi="Traditional Arabic" w:cs="Traditional Arabic" w:hint="cs"/>
          <w:sz w:val="32"/>
          <w:szCs w:val="32"/>
          <w:rtl/>
          <w:lang w:bidi="ar-DZ"/>
        </w:rPr>
        <w:t xml:space="preserve">على الترتيب. حيث أن إجمالي الناتج المحلي هو مزيج يجمع بين إجمالي الناتج المحلي حسب أسعار الصرف السائدة في السوق بنسبة </w:t>
      </w:r>
      <w:r w:rsidR="003E2A9E" w:rsidRPr="002C2180">
        <w:rPr>
          <w:rFonts w:ascii="Traditional Arabic" w:hAnsi="Traditional Arabic" w:cs="Traditional Arabic" w:hint="cs"/>
          <w:sz w:val="24"/>
          <w:szCs w:val="24"/>
          <w:rtl/>
          <w:lang w:bidi="ar-DZ"/>
        </w:rPr>
        <w:t>60</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hint="cs"/>
          <w:sz w:val="24"/>
          <w:szCs w:val="24"/>
          <w:rtl/>
          <w:lang w:bidi="ar-DZ"/>
        </w:rPr>
        <w:t xml:space="preserve"> </w:t>
      </w:r>
      <w:r w:rsidR="000818DB">
        <w:rPr>
          <w:rFonts w:ascii="Traditional Arabic" w:hAnsi="Traditional Arabic" w:cs="Traditional Arabic" w:hint="cs"/>
          <w:sz w:val="32"/>
          <w:szCs w:val="32"/>
          <w:rtl/>
          <w:lang w:bidi="ar-DZ"/>
        </w:rPr>
        <w:t>و</w:t>
      </w:r>
      <w:r w:rsidR="003E2A9E" w:rsidRPr="002C2180">
        <w:rPr>
          <w:rFonts w:ascii="Traditional Arabic" w:hAnsi="Traditional Arabic" w:cs="Traditional Arabic" w:hint="cs"/>
          <w:sz w:val="32"/>
          <w:szCs w:val="32"/>
          <w:rtl/>
          <w:lang w:bidi="ar-DZ"/>
        </w:rPr>
        <w:t xml:space="preserve">إجمالي الناتج المحلي حسب أسعار تعادل القوى الشرائية بنسب </w:t>
      </w:r>
      <w:r w:rsidR="003E2A9E" w:rsidRPr="002C2180">
        <w:rPr>
          <w:rFonts w:ascii="Traditional Arabic" w:hAnsi="Traditional Arabic" w:cs="Traditional Arabic" w:hint="cs"/>
          <w:sz w:val="24"/>
          <w:szCs w:val="24"/>
          <w:rtl/>
          <w:lang w:bidi="ar-DZ"/>
        </w:rPr>
        <w:t>40</w:t>
      </w:r>
      <w:r w:rsidR="003E2A9E" w:rsidRPr="002C2180">
        <w:rPr>
          <w:rFonts w:ascii="Traditional Arabic" w:hAnsi="Traditional Arabic" w:cs="Traditional Arabic"/>
          <w:sz w:val="24"/>
          <w:szCs w:val="24"/>
          <w:rtl/>
          <w:lang w:bidi="ar-DZ"/>
        </w:rPr>
        <w:t>%</w:t>
      </w:r>
      <w:r w:rsidR="003E2A9E" w:rsidRPr="002C2180">
        <w:rPr>
          <w:rFonts w:ascii="Traditional Arabic" w:hAnsi="Traditional Arabic" w:cs="Traditional Arabic" w:hint="cs"/>
          <w:sz w:val="32"/>
          <w:szCs w:val="32"/>
          <w:rtl/>
          <w:lang w:bidi="ar-DZ"/>
        </w:rPr>
        <w:t>، كما تم تعديل بعض المتغيرات التي تشتمل عليها الصيغة الحالية للحصة قبل إدراجها في صيغة جديدة للحصص.</w:t>
      </w:r>
      <w:r w:rsidR="003E2A9E" w:rsidRPr="002C2180">
        <w:rPr>
          <w:rFonts w:ascii="Traditional Arabic" w:hAnsi="Traditional Arabic" w:cs="Traditional Arabic" w:hint="cs"/>
          <w:sz w:val="24"/>
          <w:szCs w:val="24"/>
          <w:rtl/>
          <w:lang w:bidi="ar-DZ"/>
        </w:rPr>
        <w:t xml:space="preserve"> </w:t>
      </w:r>
      <w:r w:rsidR="003E2A9E" w:rsidRPr="002C2180">
        <w:rPr>
          <w:rFonts w:ascii="Traditional Arabic" w:hAnsi="Traditional Arabic" w:cs="Traditional Arabic" w:hint="cs"/>
          <w:sz w:val="32"/>
          <w:szCs w:val="32"/>
          <w:rtl/>
          <w:lang w:bidi="ar-DZ"/>
        </w:rPr>
        <w:t>وقد تضمنت صيغة الإصلاح لنظام الحصص والأصوات العناصر التالية:</w:t>
      </w:r>
    </w:p>
    <w:p w:rsidR="003E2A9E" w:rsidRPr="002C2180" w:rsidRDefault="003E2A9E" w:rsidP="00C244B7">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أ- زيادة شفافية نظام الحصص بتبسيط إجراءات حساب الحصص</w:t>
      </w:r>
      <w:r w:rsidR="00C244B7">
        <w:rPr>
          <w:rFonts w:ascii="Traditional Arabic" w:hAnsi="Traditional Arabic" w:cs="Traditional Arabic" w:hint="cs"/>
          <w:sz w:val="32"/>
          <w:szCs w:val="32"/>
          <w:rtl/>
          <w:lang w:bidi="ar-DZ"/>
        </w:rPr>
        <w:t>؛</w:t>
      </w:r>
    </w:p>
    <w:p w:rsidR="003E2A9E" w:rsidRPr="002C2180" w:rsidRDefault="003E2A9E" w:rsidP="003E2A9E">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ب- اعتماد جولة ثانية من الزيادات المخصصة في الحصص، حيث تقدر الزيادة المخصصة للدول الديناميكية بـ </w:t>
      </w:r>
      <w:r w:rsidRPr="002C2180">
        <w:rPr>
          <w:rFonts w:ascii="Traditional Arabic" w:hAnsi="Traditional Arabic" w:cs="Traditional Arabic" w:hint="cs"/>
          <w:sz w:val="24"/>
          <w:szCs w:val="24"/>
          <w:rtl/>
          <w:lang w:bidi="ar-DZ"/>
        </w:rPr>
        <w:t>11.5</w:t>
      </w:r>
      <w:r w:rsidRPr="002C2180">
        <w:rPr>
          <w:rFonts w:ascii="Traditional Arabic" w:hAnsi="Traditional Arabic" w:cs="Traditional Arabic"/>
          <w:sz w:val="24"/>
          <w:szCs w:val="24"/>
          <w:rtl/>
          <w:lang w:bidi="ar-DZ"/>
        </w:rPr>
        <w:t>%</w:t>
      </w:r>
      <w:r w:rsidRPr="002C2180">
        <w:rPr>
          <w:rFonts w:ascii="Traditional Arabic" w:hAnsi="Traditional Arabic" w:cs="Traditional Arabic" w:hint="cs"/>
          <w:sz w:val="32"/>
          <w:szCs w:val="32"/>
          <w:rtl/>
          <w:lang w:bidi="ar-DZ"/>
        </w:rPr>
        <w:t xml:space="preserve">، أما الدول التي لا تحقق لها الصيغة الحالية مستوى التمثيل الكافي في الصندوق فإنها مؤهلة هي الأخرى لزيادة حصصها في ظل برنامج الإصلاح، وفي هذا الإطار: </w:t>
      </w:r>
    </w:p>
    <w:p w:rsidR="003E2A9E" w:rsidRPr="002C2180" w:rsidRDefault="003E2A9E" w:rsidP="00C244B7">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تغاضي بعض الدول المتقدمة عن زيادة حصتها (الو م أ، ألمانيا، إيطاليا، اليابان، ايرلندا ولوكسمبورغ) سعيا لدعم أهداف الإصلاح</w:t>
      </w:r>
      <w:r w:rsidR="00C244B7">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C244B7">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زيادة لا تقل عن </w:t>
      </w:r>
      <w:r w:rsidRPr="002C2180">
        <w:rPr>
          <w:rFonts w:ascii="Traditional Arabic" w:hAnsi="Traditional Arabic" w:cs="Traditional Arabic" w:hint="cs"/>
          <w:sz w:val="24"/>
          <w:szCs w:val="24"/>
          <w:rtl/>
          <w:lang w:bidi="ar-DZ"/>
        </w:rPr>
        <w:t>40</w:t>
      </w:r>
      <w:r w:rsidRPr="002C2180">
        <w:rPr>
          <w:rFonts w:ascii="Traditional Arabic" w:hAnsi="Traditional Arabic" w:cs="Traditional Arabic"/>
          <w:sz w:val="24"/>
          <w:szCs w:val="24"/>
          <w:rtl/>
          <w:lang w:bidi="ar-DZ"/>
        </w:rPr>
        <w:t>%</w:t>
      </w:r>
      <w:r w:rsidRPr="002C2180">
        <w:rPr>
          <w:rFonts w:ascii="Traditional Arabic" w:hAnsi="Traditional Arabic" w:cs="Traditional Arabic" w:hint="cs"/>
          <w:sz w:val="24"/>
          <w:szCs w:val="24"/>
          <w:rtl/>
          <w:lang w:bidi="ar-DZ"/>
        </w:rPr>
        <w:t xml:space="preserve"> </w:t>
      </w:r>
      <w:r w:rsidRPr="002C2180">
        <w:rPr>
          <w:rFonts w:ascii="Traditional Arabic" w:hAnsi="Traditional Arabic" w:cs="Traditional Arabic" w:hint="cs"/>
          <w:sz w:val="32"/>
          <w:szCs w:val="32"/>
          <w:rtl/>
          <w:lang w:bidi="ar-DZ"/>
        </w:rPr>
        <w:t>في الحصص الاسمية لاقتصاديات البلدان الناشئة التي تمتلك أنصبة حصص فعلية أقل بكثير من أنصبتها الفعلية في إجمالي الناتج المحلي العالمي حسب تعادل القوى الشرائية</w:t>
      </w:r>
      <w:r w:rsidR="00C244B7">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C244B7">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lastRenderedPageBreak/>
        <w:t>ج- مراجعة نظام الحصص والأنصبة التصويتية كل خمس سنوات لضمان استمرار تناسق الحصص والأنصبة التصويتية لكل بلد مع التطورات الاقتصادية الحاصلة</w:t>
      </w:r>
      <w:r w:rsidR="00C244B7">
        <w:rPr>
          <w:rFonts w:ascii="Traditional Arabic" w:hAnsi="Traditional Arabic" w:cs="Traditional Arabic" w:hint="cs"/>
          <w:sz w:val="32"/>
          <w:szCs w:val="32"/>
          <w:rtl/>
          <w:lang w:bidi="ar-DZ"/>
        </w:rPr>
        <w:t>؛</w:t>
      </w:r>
    </w:p>
    <w:p w:rsidR="003E2A9E" w:rsidRPr="002C2180" w:rsidRDefault="003E2A9E" w:rsidP="003E2A9E">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د- تعزيز صوت البلدان منخفضة الدخل وذلك من خلال: </w:t>
      </w:r>
    </w:p>
    <w:p w:rsidR="003E2A9E" w:rsidRPr="002C2180" w:rsidRDefault="003E2A9E" w:rsidP="00C244B7">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زيادة الأصوات الأساسية بمقدار ثلاثة أضعاف لكل الأعضاء وإنشاء آلية للحفاظ في المستقبل على نسبة أنصبة الحصص الأساسية إلى مجموع الأصوات، مع منح هذه الدول عددا متساويا من الأصوات الأساسية لتوفير حماية أكبر لأصوات الدول الفقيرة</w:t>
      </w:r>
      <w:r w:rsidR="00C244B7">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r w:rsidR="00C244B7">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استحداث مناوب لكل مدير من المديرين التنفيذيين الممثلين للبلدان الإفريقية لتعزيز دورهم الاستشاري والمالي في الصندوق.</w:t>
      </w:r>
    </w:p>
    <w:p w:rsidR="003E2A9E" w:rsidRPr="002C2180" w:rsidRDefault="003E2A9E" w:rsidP="002C2180">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w:t>
      </w:r>
      <w:r w:rsidR="002C2180">
        <w:rPr>
          <w:rFonts w:ascii="Traditional Arabic" w:hAnsi="Traditional Arabic" w:cs="Traditional Arabic" w:hint="cs"/>
          <w:sz w:val="32"/>
          <w:szCs w:val="32"/>
          <w:rtl/>
          <w:lang w:bidi="ar-DZ"/>
        </w:rPr>
        <w:t xml:space="preserve"> </w:t>
      </w:r>
      <w:r w:rsidRPr="002C2180">
        <w:rPr>
          <w:rFonts w:ascii="Traditional Arabic" w:hAnsi="Traditional Arabic" w:cs="Traditional Arabic" w:hint="cs"/>
          <w:sz w:val="32"/>
          <w:szCs w:val="32"/>
          <w:rtl/>
          <w:lang w:bidi="ar-DZ"/>
        </w:rPr>
        <w:t xml:space="preserve"> وفي هذا الإطار أشار صندوق النقد الدولي إلى أن زيادة الحصص سوف تعزز القوة التصويتية لحوالي </w:t>
      </w:r>
      <w:r w:rsidRPr="002C2180">
        <w:rPr>
          <w:rFonts w:ascii="Traditional Arabic" w:hAnsi="Traditional Arabic" w:cs="Traditional Arabic" w:hint="cs"/>
          <w:sz w:val="24"/>
          <w:szCs w:val="24"/>
          <w:rtl/>
          <w:lang w:bidi="ar-DZ"/>
        </w:rPr>
        <w:t xml:space="preserve">135 </w:t>
      </w:r>
      <w:r w:rsidRPr="002C2180">
        <w:rPr>
          <w:rFonts w:ascii="Traditional Arabic" w:hAnsi="Traditional Arabic" w:cs="Traditional Arabic" w:hint="cs"/>
          <w:sz w:val="32"/>
          <w:szCs w:val="32"/>
          <w:rtl/>
          <w:lang w:bidi="ar-DZ"/>
        </w:rPr>
        <w:t xml:space="preserve">بلد بواقع </w:t>
      </w:r>
      <w:r w:rsidRPr="002C2180">
        <w:rPr>
          <w:rFonts w:ascii="Traditional Arabic" w:hAnsi="Traditional Arabic" w:cs="Traditional Arabic" w:hint="cs"/>
          <w:sz w:val="24"/>
          <w:szCs w:val="24"/>
          <w:rtl/>
          <w:lang w:bidi="ar-DZ"/>
        </w:rPr>
        <w:t>5.5</w:t>
      </w:r>
      <w:r w:rsidRPr="002C2180">
        <w:rPr>
          <w:rFonts w:ascii="Traditional Arabic" w:hAnsi="Traditional Arabic" w:cs="Traditional Arabic"/>
          <w:sz w:val="24"/>
          <w:szCs w:val="24"/>
          <w:rtl/>
          <w:lang w:bidi="ar-DZ"/>
        </w:rPr>
        <w:t>%</w:t>
      </w:r>
      <w:r w:rsidRPr="002C2180">
        <w:rPr>
          <w:rFonts w:ascii="Traditional Arabic" w:hAnsi="Traditional Arabic" w:cs="Traditional Arabic" w:hint="cs"/>
          <w:sz w:val="32"/>
          <w:szCs w:val="32"/>
          <w:rtl/>
          <w:lang w:bidi="ar-DZ"/>
        </w:rPr>
        <w:t>، ومن بين البلدان التي ستشهد أكبر زيادة في نصيبها التصويتي الصين، كوريا الجنوبية، الهند، البرازيل، المكسيك</w:t>
      </w:r>
      <w:r w:rsidRPr="002C2180">
        <w:rPr>
          <w:rStyle w:val="Appelnotedebasdep"/>
          <w:rFonts w:ascii="Traditional Arabic" w:hAnsi="Traditional Arabic" w:cs="Traditional Arabic"/>
          <w:sz w:val="32"/>
          <w:szCs w:val="32"/>
          <w:rtl/>
          <w:lang w:bidi="ar-DZ"/>
        </w:rPr>
        <w:footnoteReference w:id="61"/>
      </w:r>
      <w:r w:rsidRPr="002C2180">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spacing w:after="0"/>
        <w:jc w:val="both"/>
        <w:rPr>
          <w:rFonts w:ascii="Traditional Arabic" w:hAnsi="Traditional Arabic" w:cs="Traditional Arabic"/>
          <w:b/>
          <w:bCs/>
          <w:sz w:val="32"/>
          <w:szCs w:val="32"/>
          <w:rtl/>
          <w:lang w:bidi="ar-DZ"/>
        </w:rPr>
      </w:pPr>
      <w:r w:rsidRPr="002C2180">
        <w:rPr>
          <w:rFonts w:ascii="Traditional Arabic" w:hAnsi="Traditional Arabic" w:cs="Traditional Arabic" w:hint="cs"/>
          <w:b/>
          <w:bCs/>
          <w:sz w:val="24"/>
          <w:szCs w:val="24"/>
          <w:rtl/>
          <w:lang w:bidi="ar-DZ"/>
        </w:rPr>
        <w:t xml:space="preserve">4- </w:t>
      </w:r>
      <w:r w:rsidRPr="002C2180">
        <w:rPr>
          <w:rFonts w:ascii="Traditional Arabic" w:hAnsi="Traditional Arabic" w:cs="Traditional Arabic" w:hint="cs"/>
          <w:b/>
          <w:bCs/>
          <w:sz w:val="32"/>
          <w:szCs w:val="32"/>
          <w:rtl/>
          <w:lang w:bidi="ar-DZ"/>
        </w:rPr>
        <w:t xml:space="preserve">إعادة النظر في كيفية إدارة المخاطر النظامية: </w:t>
      </w:r>
    </w:p>
    <w:p w:rsidR="003E2A9E" w:rsidRPr="002C2180" w:rsidRDefault="002C2180" w:rsidP="00AA417A">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3E2A9E" w:rsidRPr="002C2180">
        <w:rPr>
          <w:rFonts w:ascii="Traditional Arabic" w:hAnsi="Traditional Arabic" w:cs="Traditional Arabic" w:hint="cs"/>
          <w:sz w:val="32"/>
          <w:szCs w:val="32"/>
          <w:rtl/>
          <w:lang w:bidi="ar-DZ"/>
        </w:rPr>
        <w:t xml:space="preserve">  أشارت الدراسات التحليلية لصندوق النقد الدولي حول أسباب الأزمة المالية العالمية إلى التوسع الهائل </w:t>
      </w:r>
      <w:r w:rsidR="00AA417A">
        <w:rPr>
          <w:rFonts w:ascii="Traditional Arabic" w:hAnsi="Traditional Arabic" w:cs="Traditional Arabic" w:hint="cs"/>
          <w:sz w:val="32"/>
          <w:szCs w:val="32"/>
          <w:rtl/>
          <w:lang w:bidi="ar-DZ"/>
        </w:rPr>
        <w:t>ل</w:t>
      </w:r>
      <w:r w:rsidR="003E2A9E" w:rsidRPr="002C2180">
        <w:rPr>
          <w:rFonts w:ascii="Traditional Arabic" w:hAnsi="Traditional Arabic" w:cs="Traditional Arabic" w:hint="cs"/>
          <w:sz w:val="32"/>
          <w:szCs w:val="32"/>
          <w:rtl/>
          <w:lang w:bidi="ar-DZ"/>
        </w:rPr>
        <w:t>لنظام المالي في السنوات الأخيرة وظهور الكثير من الأدوات المالية التي كان يعتقد أنها تحقق مكاسب كبيرة مع درجة مخاطرة قليلة، وأن الأزمة ما هي إلا نتيجة لتراكم مجموعة من الاختلالات يمكن إيجازها في النقاط التالية</w:t>
      </w:r>
      <w:r w:rsidR="003E2A9E" w:rsidRPr="002C2180">
        <w:rPr>
          <w:rStyle w:val="Appelnotedebasdep"/>
          <w:rFonts w:ascii="Traditional Arabic" w:hAnsi="Traditional Arabic" w:cs="Traditional Arabic"/>
          <w:sz w:val="32"/>
          <w:szCs w:val="32"/>
          <w:rtl/>
          <w:lang w:bidi="ar-DZ"/>
        </w:rPr>
        <w:footnoteReference w:id="62"/>
      </w:r>
      <w:r w:rsidR="003E2A9E" w:rsidRPr="002C2180">
        <w:rPr>
          <w:rFonts w:ascii="Traditional Arabic" w:hAnsi="Traditional Arabic" w:cs="Traditional Arabic" w:hint="cs"/>
          <w:sz w:val="32"/>
          <w:szCs w:val="32"/>
          <w:rtl/>
          <w:lang w:bidi="ar-DZ"/>
        </w:rPr>
        <w:t xml:space="preserve">: </w:t>
      </w:r>
      <w:r w:rsidR="00AA417A">
        <w:rPr>
          <w:rFonts w:ascii="Traditional Arabic" w:hAnsi="Traditional Arabic" w:cs="Traditional Arabic" w:hint="cs"/>
          <w:sz w:val="32"/>
          <w:szCs w:val="32"/>
          <w:rtl/>
          <w:lang w:bidi="ar-DZ"/>
        </w:rPr>
        <w:t xml:space="preserve">  </w:t>
      </w:r>
    </w:p>
    <w:p w:rsidR="003E2A9E" w:rsidRPr="002C2180" w:rsidRDefault="003E2A9E" w:rsidP="00FD4519">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عدم قدرة هيئات التنظيم المالي على اكتشاف ورصد المخاطر الناتجة عن الابتكارات المالية، حيث عجز الانضباط السوقي والعمل التنظيمي على احتواء المخاطر الناتجة عن سرعة ابتكار وزيادة الرفع المالي التي شهدتها العقود السابقة</w:t>
      </w:r>
      <w:r w:rsidR="00FD4519">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FD4519">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ضعف مستوى التعاون المالي الدولي (بين المؤسسات المالية الدولية) الذي كان سببا في إضعاف القدرة على رصد نقاط الضعف المتزايدة والروابط القائمة عبر الحدود</w:t>
      </w:r>
      <w:r w:rsidR="00FD4519">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lastRenderedPageBreak/>
        <w:t>- إهمال وإغفال صانعي السياسات لحجم كبير من الاختلالات الاقتصادية الكلية المتنامية التي تتسبب في تراكم المخاطر النظامية في النظام المالي وفي سوق العقارات، فقد ركزت معظم البنوك المركزية على معالجة التضخم دون التركيز على المخاطر الناتجة عن ارتفاع أسعار الأصول (خاصة العقارية)، وأعطت الأجهزة الرقابية المالية أولوية للقطاع المصرفي الرسمي وأهملت مخاطر القطاع المالي غير الرسمي.</w:t>
      </w:r>
      <w:r w:rsidR="00FD4519">
        <w:rPr>
          <w:rFonts w:ascii="Traditional Arabic" w:hAnsi="Traditional Arabic" w:cs="Traditional Arabic" w:hint="cs"/>
          <w:sz w:val="32"/>
          <w:szCs w:val="32"/>
          <w:rtl/>
          <w:lang w:bidi="ar-DZ"/>
        </w:rPr>
        <w:t xml:space="preserve"> </w:t>
      </w:r>
    </w:p>
    <w:p w:rsidR="003E2A9E" w:rsidRPr="002C2180" w:rsidRDefault="003E2A9E" w:rsidP="002C2180">
      <w:pPr>
        <w:tabs>
          <w:tab w:val="right" w:pos="567"/>
        </w:tabs>
        <w:bidi/>
        <w:jc w:val="both"/>
        <w:rPr>
          <w:rFonts w:ascii="Traditional Arabic" w:hAnsi="Traditional Arabic" w:cs="Traditional Arabic"/>
          <w:sz w:val="32"/>
          <w:szCs w:val="32"/>
          <w:lang w:bidi="ar-DZ"/>
        </w:rPr>
      </w:pPr>
      <w:r w:rsidRPr="002C2180">
        <w:rPr>
          <w:rFonts w:ascii="Traditional Arabic" w:hAnsi="Traditional Arabic" w:cs="Traditional Arabic" w:hint="cs"/>
          <w:sz w:val="32"/>
          <w:szCs w:val="32"/>
          <w:rtl/>
          <w:lang w:bidi="ar-DZ"/>
        </w:rPr>
        <w:t xml:space="preserve">       انطلاقا من تحليل الاختلالات اعتبر الصندوق أن معالجة الأزمة وتفادي مسبباتها مستقبلا تقتضي توسيع التنظيم المالي ليشمل المؤسسات والأسواق النظامية التي لم تكن خاضعة لرقابة الهيئات التنظيمية والتوسع في آليات الإفصاح بتوفير المعلومات الكافية للأجهزة الرقابية وتكثيف الإجراءات التنظيمية والرقابية والوظيفية، إضافة إلى اعتماد التصحيحات التالية</w:t>
      </w:r>
      <w:r w:rsidRPr="002C2180">
        <w:rPr>
          <w:rStyle w:val="Appelnotedebasdep"/>
          <w:rFonts w:ascii="Traditional Arabic" w:hAnsi="Traditional Arabic" w:cs="Traditional Arabic"/>
          <w:sz w:val="32"/>
          <w:szCs w:val="32"/>
          <w:rtl/>
          <w:lang w:bidi="ar-DZ"/>
        </w:rPr>
        <w:footnoteReference w:id="63"/>
      </w:r>
      <w:r w:rsidRPr="002C2180">
        <w:rPr>
          <w:rFonts w:ascii="Traditional Arabic" w:hAnsi="Traditional Arabic" w:cs="Traditional Arabic" w:hint="cs"/>
          <w:sz w:val="32"/>
          <w:szCs w:val="32"/>
          <w:rtl/>
          <w:lang w:bidi="ar-DZ"/>
        </w:rPr>
        <w:t xml:space="preserve">:   </w:t>
      </w:r>
    </w:p>
    <w:p w:rsidR="003E2A9E" w:rsidRPr="002C2180" w:rsidRDefault="007A4183" w:rsidP="003E2A9E">
      <w:pPr>
        <w:tabs>
          <w:tab w:val="right" w:pos="567"/>
        </w:tabs>
        <w:bidi/>
        <w:spacing w:after="0"/>
        <w:jc w:val="both"/>
        <w:rPr>
          <w:rFonts w:ascii="Traditional Arabic" w:hAnsi="Traditional Arabic" w:cs="Traditional Arabic"/>
          <w:sz w:val="32"/>
          <w:szCs w:val="32"/>
          <w:rtl/>
          <w:lang w:bidi="ar-DZ"/>
        </w:rPr>
      </w:pPr>
      <w:r w:rsidRPr="007A4183">
        <w:rPr>
          <w:rFonts w:ascii="Traditional Arabic" w:hAnsi="Traditional Arabic" w:cs="Traditional Arabic" w:hint="cs"/>
          <w:b/>
          <w:bCs/>
          <w:sz w:val="32"/>
          <w:szCs w:val="32"/>
          <w:rtl/>
          <w:lang w:bidi="ar-DZ"/>
        </w:rPr>
        <w:t>أ</w:t>
      </w:r>
      <w:r w:rsidR="003E2A9E" w:rsidRPr="007A4183">
        <w:rPr>
          <w:rFonts w:ascii="Traditional Arabic" w:hAnsi="Traditional Arabic" w:cs="Traditional Arabic" w:hint="cs"/>
          <w:b/>
          <w:bCs/>
          <w:sz w:val="32"/>
          <w:szCs w:val="32"/>
          <w:rtl/>
          <w:lang w:bidi="ar-DZ"/>
        </w:rPr>
        <w:t xml:space="preserve">- </w:t>
      </w:r>
      <w:r w:rsidR="003E2A9E" w:rsidRPr="002C2180">
        <w:rPr>
          <w:rFonts w:ascii="Traditional Arabic" w:hAnsi="Traditional Arabic" w:cs="Traditional Arabic" w:hint="cs"/>
          <w:b/>
          <w:bCs/>
          <w:sz w:val="32"/>
          <w:szCs w:val="32"/>
          <w:rtl/>
          <w:lang w:bidi="ar-DZ"/>
        </w:rPr>
        <w:t xml:space="preserve">تعزيز قدرة هيئات التنظيم المالي على اكتشاف المخاطر: </w:t>
      </w:r>
      <w:r w:rsidR="003E2A9E" w:rsidRPr="002C2180">
        <w:rPr>
          <w:rFonts w:ascii="Traditional Arabic" w:hAnsi="Traditional Arabic" w:cs="Traditional Arabic" w:hint="cs"/>
          <w:sz w:val="32"/>
          <w:szCs w:val="32"/>
          <w:rtl/>
          <w:lang w:bidi="ar-DZ"/>
        </w:rPr>
        <w:t>وذلك:</w:t>
      </w:r>
      <w:r>
        <w:rPr>
          <w:rFonts w:ascii="Traditional Arabic" w:hAnsi="Traditional Arabic" w:cs="Traditional Arabic" w:hint="cs"/>
          <w:sz w:val="32"/>
          <w:szCs w:val="32"/>
          <w:rtl/>
          <w:lang w:bidi="ar-DZ"/>
        </w:rPr>
        <w:t xml:space="preserve">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بتوسيع نطاق الحدود التنظيمية لتشمل كل الأنشطة التي تكون مصدرا للمخاطر على الاقتصاد ككل، مع المحافظة على مرونة التنظيم في التكيف مع الابتكارات</w:t>
      </w:r>
      <w:r w:rsidR="0091277A">
        <w:rPr>
          <w:rFonts w:ascii="Traditional Arabic" w:hAnsi="Traditional Arabic" w:cs="Traditional Arabic" w:hint="cs"/>
          <w:sz w:val="32"/>
          <w:szCs w:val="32"/>
          <w:rtl/>
          <w:lang w:bidi="ar-DZ"/>
        </w:rPr>
        <w:t xml:space="preserve"> المستحدثة في السوق المالي، ل</w:t>
      </w:r>
      <w:r w:rsidRPr="002C2180">
        <w:rPr>
          <w:rFonts w:ascii="Traditional Arabic" w:hAnsi="Traditional Arabic" w:cs="Traditional Arabic" w:hint="cs"/>
          <w:sz w:val="32"/>
          <w:szCs w:val="32"/>
          <w:rtl/>
          <w:lang w:bidi="ar-DZ"/>
        </w:rPr>
        <w:t>لحيلولة دون تركز المخاطر بما يتجاوز حدود التنظيم</w:t>
      </w:r>
      <w:r w:rsidR="003576D5">
        <w:rPr>
          <w:rFonts w:ascii="Traditional Arabic" w:hAnsi="Traditional Arabic" w:cs="Traditional Arabic" w:hint="cs"/>
          <w:sz w:val="32"/>
          <w:szCs w:val="32"/>
          <w:rtl/>
          <w:lang w:bidi="ar-DZ"/>
        </w:rPr>
        <w:t>؛</w:t>
      </w:r>
      <w:r w:rsidR="0091277A">
        <w:rPr>
          <w:rFonts w:ascii="Traditional Arabic" w:hAnsi="Traditional Arabic" w:cs="Traditional Arabic" w:hint="cs"/>
          <w:sz w:val="32"/>
          <w:szCs w:val="32"/>
          <w:rtl/>
          <w:lang w:bidi="ar-DZ"/>
        </w:rPr>
        <w:t xml:space="preserve">  </w:t>
      </w:r>
      <w:r w:rsidRPr="002C2180">
        <w:rPr>
          <w:rFonts w:ascii="Traditional Arabic" w:hAnsi="Traditional Arabic" w:cs="Traditional Arabic" w:hint="cs"/>
          <w:sz w:val="32"/>
          <w:szCs w:val="32"/>
          <w:rtl/>
          <w:lang w:bidi="ar-DZ"/>
        </w:rPr>
        <w:t xml:space="preserve">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تعزيز الانضباط السوقي بتفعيل دور هيئات التصنيف الائتماني في تقدير المخاطر وزيادة درجة تنسيق جهودها، باتخاذ مبادرات للحد من تضارب المصالح فيما بينها وتحسين إجراءات العناية الواجبة تجاه المستثمرين، وخفض الاعتماد على المراتب الائتمانية لاستيفاء القواعد الاحترازية وتحقيق التمايز في سلم التصنيف الائتماني للمنتجات المهيكلة، كما يتعين التدخل المبكر لتسوية أوضاع البنوك النظامية لاقتسام خسائر ممكن التنبؤ بمسارها مسبقا</w:t>
      </w:r>
      <w:r w:rsidR="003576D5">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3576D5">
      <w:pPr>
        <w:tabs>
          <w:tab w:val="right" w:pos="567"/>
        </w:tabs>
        <w:bidi/>
        <w:spacing w:after="0"/>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الحد من مسايرة الاتجاهات الدورية في العمل التنظيمي والمحاسبي، فمن شأن زيادة مقدار رأس المال الإلزامي المطلوب من البنوك أثناء فترات الانتعاش أن تؤدي إلى تكوين هامش احتياطي يمكن أن تستند إليه البنوك أثناء فترات الهبوط. وينبغي أن تقوم الجهات الرقابية بتقييم نظم تعويضات العاملين بصفة منتظمة للتأكد من أنها لا تنشئ حوافز مشجعة على المخاطرة المفرطة. وهناك مبررات قوية تتطلب تحسين القواعد المحاسبية عن طريق الإقرار بإمكانية الخطأ في التسعير في أوقات اليسر والعسر</w:t>
      </w:r>
      <w:r w:rsidR="003576D5">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lastRenderedPageBreak/>
        <w:t xml:space="preserve">- زيادة الشفافية في آلية تقييم الأدوات المالية المركبة بتحسين جودة المعلومات المتعلقة بالمعاملات خاصة </w:t>
      </w:r>
      <w:r w:rsidR="00DF0159">
        <w:rPr>
          <w:rFonts w:ascii="Traditional Arabic" w:hAnsi="Traditional Arabic" w:cs="Traditional Arabic" w:hint="cs"/>
          <w:sz w:val="32"/>
          <w:szCs w:val="32"/>
          <w:rtl/>
          <w:lang w:bidi="ar-DZ"/>
        </w:rPr>
        <w:t xml:space="preserve">في </w:t>
      </w:r>
      <w:r w:rsidRPr="002C2180">
        <w:rPr>
          <w:rFonts w:ascii="Traditional Arabic" w:hAnsi="Traditional Arabic" w:cs="Traditional Arabic" w:hint="cs"/>
          <w:sz w:val="32"/>
          <w:szCs w:val="32"/>
          <w:rtl/>
          <w:lang w:bidi="ar-DZ"/>
        </w:rPr>
        <w:t>السوق الرسمية وخارج الموازنة العامة، حتى تتمكن الأجهزة التنظيمية من رصد المخاطر التي تهدد النظام بأسره ومحاولة تقييمها لتعزيز الانضباط السوقي</w:t>
      </w:r>
      <w:r w:rsidR="003576D5">
        <w:rPr>
          <w:rFonts w:ascii="Traditional Arabic" w:hAnsi="Traditional Arabic" w:cs="Traditional Arabic" w:hint="cs"/>
          <w:sz w:val="32"/>
          <w:szCs w:val="32"/>
          <w:rtl/>
          <w:lang w:bidi="ar-DZ"/>
        </w:rPr>
        <w:t>؛</w:t>
      </w:r>
    </w:p>
    <w:p w:rsidR="002C2180" w:rsidRPr="002C2180" w:rsidRDefault="003E2A9E" w:rsidP="003460E8">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تحسين البنية التحتية لأسواق المال وتقوية المعايير المحددة لاحتياطي السيولة النظامية على مستوى البنوك المركزية.</w:t>
      </w:r>
    </w:p>
    <w:p w:rsidR="003E2A9E" w:rsidRPr="002C2180" w:rsidRDefault="00384F33" w:rsidP="003E2A9E">
      <w:pPr>
        <w:tabs>
          <w:tab w:val="right" w:pos="567"/>
        </w:tabs>
        <w:bidi/>
        <w:spacing w:after="0"/>
        <w:jc w:val="both"/>
        <w:rPr>
          <w:rFonts w:ascii="Traditional Arabic" w:hAnsi="Traditional Arabic" w:cs="Traditional Arabic"/>
          <w:sz w:val="32"/>
          <w:szCs w:val="32"/>
          <w:rtl/>
          <w:lang w:bidi="ar-DZ"/>
        </w:rPr>
      </w:pPr>
      <w:r w:rsidRPr="00384F33">
        <w:rPr>
          <w:rFonts w:ascii="Traditional Arabic" w:hAnsi="Traditional Arabic" w:cs="Traditional Arabic" w:hint="cs"/>
          <w:b/>
          <w:bCs/>
          <w:sz w:val="32"/>
          <w:szCs w:val="32"/>
          <w:rtl/>
          <w:lang w:bidi="ar-DZ"/>
        </w:rPr>
        <w:t>ب</w:t>
      </w:r>
      <w:r w:rsidR="003E2A9E" w:rsidRPr="00384F33">
        <w:rPr>
          <w:rFonts w:ascii="Traditional Arabic" w:hAnsi="Traditional Arabic" w:cs="Traditional Arabic" w:hint="cs"/>
          <w:b/>
          <w:bCs/>
          <w:sz w:val="32"/>
          <w:szCs w:val="32"/>
          <w:rtl/>
          <w:lang w:bidi="ar-DZ"/>
        </w:rPr>
        <w:t xml:space="preserve">- </w:t>
      </w:r>
      <w:r w:rsidR="003E2A9E" w:rsidRPr="002C2180">
        <w:rPr>
          <w:rFonts w:ascii="Traditional Arabic" w:hAnsi="Traditional Arabic" w:cs="Traditional Arabic" w:hint="cs"/>
          <w:b/>
          <w:bCs/>
          <w:sz w:val="32"/>
          <w:szCs w:val="32"/>
          <w:rtl/>
          <w:lang w:bidi="ar-DZ"/>
        </w:rPr>
        <w:t>تعزيز التعاون المالي الدولي حول القضايا المالية والاقتصادية:</w:t>
      </w:r>
      <w:r w:rsidR="003E2A9E" w:rsidRPr="002C2180">
        <w:rPr>
          <w:rFonts w:ascii="Traditional Arabic" w:hAnsi="Traditional Arabic" w:cs="Traditional Arabic" w:hint="cs"/>
          <w:sz w:val="32"/>
          <w:szCs w:val="32"/>
          <w:rtl/>
          <w:lang w:bidi="ar-DZ"/>
        </w:rPr>
        <w:t xml:space="preserve"> ويتحقق ذلك بـ: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زيادة درجة التركيز والتحديد في التحذيرات التي يقدمها صندوق النقد الدولي، ويتطلب ذلك تكثيف التعاون مع المنظمات الاقتصادية والمالية الدولية (يعكف الصندوق بالتعاون مع منتدى الاستقرار المالي على استحداث صيغة جديدة لنظام الإنذار المبكر، ترتكز على الاستغلال الجيد للخبرات المتعلقة بالجوانب المالية والاقتصادية الكلية والتحديد الدقيق للمخاطر الكبرى الناتجة عنها والتي تشكل تهديدا للاقتصاد، مع الأخذ بعين الاعتبار آثار انتقالها إلى الاقتصاديات الأخرى)</w:t>
      </w:r>
      <w:r w:rsidR="003576D5">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تكثيف جهود التعاون الدولي بين صندوق النقد الدولي وغيره من المنظمات (خاصة مجموعة السبعة، مجموعة العشرين ومنظمة التعاون والتنمية الاقتصادية ومنتدى الاستقرار المالي...) لإقامة منبر مالي عالمي يتمتع بالخبرة والشرعية والكفاءة يكون قادرا على قيادة عملية إدارة المخاطر العالمية النظامية، نظرا لأوجه النقص والقصور التي تشوب نشاط كل هيئة بمفردها</w:t>
      </w:r>
      <w:r w:rsidR="003576D5">
        <w:rPr>
          <w:rFonts w:ascii="Traditional Arabic" w:hAnsi="Traditional Arabic" w:cs="Traditional Arabic" w:hint="cs"/>
          <w:sz w:val="32"/>
          <w:szCs w:val="32"/>
          <w:rtl/>
          <w:lang w:bidi="ar-DZ"/>
        </w:rPr>
        <w:t>؛</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تكثيف الجهود التعاونية لوضع قواعد وأسس قوية لتسوية نشاط القطاعات المالية العابرة للقارات</w:t>
      </w:r>
      <w:r w:rsidR="003576D5">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963682" w:rsidRDefault="003E2A9E" w:rsidP="00963682">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إقامة إطار عالمي موثوق للسيولة، بتدعيم الدول الأعضاء لجهود الصندوق في إصلاح نظام الإقراض والحصص، فقد تسعى البلدان في المستقبل إلى الاعتماد على التأمين الذاتي من خلال الفوائض المتراكمة للاحتياطات، الأمر الذي يمكن أن يشوه التجارة العالمية في السنوات القادمة. </w:t>
      </w:r>
    </w:p>
    <w:p w:rsidR="00D455BA" w:rsidRDefault="00D455BA" w:rsidP="00D455BA">
      <w:pPr>
        <w:tabs>
          <w:tab w:val="right" w:pos="567"/>
        </w:tabs>
        <w:bidi/>
        <w:jc w:val="both"/>
        <w:rPr>
          <w:rFonts w:ascii="Traditional Arabic" w:hAnsi="Traditional Arabic" w:cs="Traditional Arabic"/>
          <w:sz w:val="32"/>
          <w:szCs w:val="32"/>
          <w:rtl/>
          <w:lang w:bidi="ar-DZ"/>
        </w:rPr>
      </w:pPr>
    </w:p>
    <w:p w:rsidR="00D455BA" w:rsidRDefault="00D455BA" w:rsidP="00D455BA">
      <w:pPr>
        <w:tabs>
          <w:tab w:val="right" w:pos="567"/>
        </w:tabs>
        <w:bidi/>
        <w:jc w:val="both"/>
        <w:rPr>
          <w:rFonts w:ascii="Traditional Arabic" w:hAnsi="Traditional Arabic" w:cs="Traditional Arabic"/>
          <w:sz w:val="32"/>
          <w:szCs w:val="32"/>
          <w:rtl/>
          <w:lang w:bidi="ar-DZ"/>
        </w:rPr>
      </w:pPr>
    </w:p>
    <w:p w:rsidR="00D455BA" w:rsidRPr="002C2180" w:rsidRDefault="00D455BA" w:rsidP="00D455BA">
      <w:pPr>
        <w:tabs>
          <w:tab w:val="right" w:pos="567"/>
        </w:tabs>
        <w:bidi/>
        <w:jc w:val="both"/>
        <w:rPr>
          <w:rFonts w:ascii="Traditional Arabic" w:hAnsi="Traditional Arabic" w:cs="Traditional Arabic"/>
          <w:sz w:val="32"/>
          <w:szCs w:val="32"/>
          <w:rtl/>
          <w:lang w:bidi="ar-DZ"/>
        </w:rPr>
      </w:pPr>
    </w:p>
    <w:p w:rsidR="003E2A9E" w:rsidRPr="002C2180" w:rsidRDefault="00384F33" w:rsidP="003E2A9E">
      <w:pPr>
        <w:tabs>
          <w:tab w:val="right" w:pos="567"/>
        </w:tabs>
        <w:bidi/>
        <w:spacing w:after="0"/>
        <w:jc w:val="both"/>
        <w:rPr>
          <w:rFonts w:ascii="Traditional Arabic" w:hAnsi="Traditional Arabic" w:cs="Traditional Arabic"/>
          <w:b/>
          <w:bCs/>
          <w:sz w:val="32"/>
          <w:szCs w:val="32"/>
          <w:rtl/>
          <w:lang w:bidi="ar-DZ"/>
        </w:rPr>
      </w:pPr>
      <w:r w:rsidRPr="00384F33">
        <w:rPr>
          <w:rFonts w:ascii="Traditional Arabic" w:hAnsi="Traditional Arabic" w:cs="Traditional Arabic" w:hint="cs"/>
          <w:b/>
          <w:bCs/>
          <w:sz w:val="32"/>
          <w:szCs w:val="32"/>
          <w:rtl/>
          <w:lang w:bidi="ar-DZ"/>
        </w:rPr>
        <w:lastRenderedPageBreak/>
        <w:t>ج</w:t>
      </w:r>
      <w:r w:rsidR="003E2A9E" w:rsidRPr="00384F33">
        <w:rPr>
          <w:rFonts w:ascii="Traditional Arabic" w:hAnsi="Traditional Arabic" w:cs="Traditional Arabic" w:hint="cs"/>
          <w:b/>
          <w:bCs/>
          <w:sz w:val="32"/>
          <w:szCs w:val="32"/>
          <w:rtl/>
          <w:lang w:bidi="ar-DZ"/>
        </w:rPr>
        <w:t xml:space="preserve">- </w:t>
      </w:r>
      <w:r w:rsidR="003E2A9E" w:rsidRPr="002C2180">
        <w:rPr>
          <w:rFonts w:ascii="Traditional Arabic" w:hAnsi="Traditional Arabic" w:cs="Traditional Arabic" w:hint="cs"/>
          <w:b/>
          <w:bCs/>
          <w:sz w:val="32"/>
          <w:szCs w:val="32"/>
          <w:rtl/>
          <w:lang w:bidi="ar-DZ"/>
        </w:rPr>
        <w:t xml:space="preserve">زيادة درجة اهتمام ومراقبة السياسات الاقتصادية للمخاطر النظامية: </w:t>
      </w:r>
    </w:p>
    <w:p w:rsidR="003E2A9E" w:rsidRPr="002C2180" w:rsidRDefault="003E2A9E" w:rsidP="003E2A9E">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xml:space="preserve">        تميزت المرحلة السابقة للأزمة المالية بارتفاع معدلات النمو الاقتصادي العالمي وانخفاض أسعار الفائدة، مما شجع على الاتجاه نحو الاستثمار في المنتجات المالية المبتكرة ذات المخاطر المرتفعة في ظل تغاظي أدوات السياسة الاقتصادية الكلية على مراقبة هذه المخاطر النظامية، لذا فإن الدروس المستفادة من أسباب الأزمة تقتضي مراجعة أداء السياسة الاقتصادية الكلية من خلال: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زيادة الاعتماد على أدوات السياسة النقدية في مواجهة تراكم المخاطر النظامية وتعزيز الاستقرار المالي والاقتصادي الكلي. فمن الصعب رصد فقاعة تزداد تضخما ثم التحرك لمواجهتها، وعادة ما تكون السياسة النقدية أداة فعالة للتعامل مع طفرات الائتمان وأسعار الأصول، وبالتالي هناك حجج كافية لتوسيع مجال السياسة النقدية حتى يشمل الاستقرار المالي والاقتصادي ككل، وعدم اقتصاره على استقرار الأسعار</w:t>
      </w:r>
      <w:r w:rsidR="003576D5">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3E2A9E" w:rsidRPr="002C2180" w:rsidRDefault="003E2A9E" w:rsidP="003576D5">
      <w:pPr>
        <w:tabs>
          <w:tab w:val="right" w:pos="567"/>
        </w:tabs>
        <w:bidi/>
        <w:jc w:val="both"/>
        <w:rPr>
          <w:rFonts w:ascii="Traditional Arabic" w:hAnsi="Traditional Arabic" w:cs="Traditional Arabic"/>
          <w:sz w:val="32"/>
          <w:szCs w:val="32"/>
          <w:rtl/>
          <w:lang w:bidi="ar-DZ"/>
        </w:rPr>
      </w:pPr>
      <w:r w:rsidRPr="002C2180">
        <w:rPr>
          <w:rFonts w:ascii="Traditional Arabic" w:hAnsi="Traditional Arabic" w:cs="Traditional Arabic" w:hint="cs"/>
          <w:sz w:val="32"/>
          <w:szCs w:val="32"/>
          <w:rtl/>
          <w:lang w:bidi="ar-DZ"/>
        </w:rPr>
        <w:t>- ترسيخ دعائم السياسة المالية في أوقات الرخاء واليسر، فكثير من البلدان تعذر عليها سداد الدين العام وتخفيض مستويات العجز في أوقات الرخاء. ونتيجة لذلك، وجدت نفسها ضعيفة القدرة على تنشيط اقتصادياته</w:t>
      </w:r>
      <w:r w:rsidRPr="002C2180">
        <w:rPr>
          <w:rFonts w:ascii="Traditional Arabic" w:hAnsi="Traditional Arabic" w:cs="Traditional Arabic" w:hint="eastAsia"/>
          <w:sz w:val="32"/>
          <w:szCs w:val="32"/>
          <w:rtl/>
          <w:lang w:bidi="ar-DZ"/>
        </w:rPr>
        <w:t>ا</w:t>
      </w:r>
      <w:r w:rsidRPr="002C2180">
        <w:rPr>
          <w:rFonts w:ascii="Traditional Arabic" w:hAnsi="Traditional Arabic" w:cs="Traditional Arabic" w:hint="cs"/>
          <w:sz w:val="32"/>
          <w:szCs w:val="32"/>
          <w:rtl/>
          <w:lang w:bidi="ar-DZ"/>
        </w:rPr>
        <w:t xml:space="preserve"> للخروج من الأزمة، وكانت السياسة الضريبية عاملا مشجعا للتمويل بالديون، لذا فإن صندوق النقد الدولي أجرى تحليل دقيق ومفصل لنظامها المالي لمساعدتها على تصميم تدابير تنشيطية فعالة وللتأكد من الملاءة المالية العامة على المدى المتوسط، نظرا لارتفاع الدين والالتزامات الاحتمالية</w:t>
      </w:r>
      <w:r w:rsidR="003576D5">
        <w:rPr>
          <w:rFonts w:ascii="Traditional Arabic" w:hAnsi="Traditional Arabic" w:cs="Traditional Arabic" w:hint="cs"/>
          <w:sz w:val="32"/>
          <w:szCs w:val="32"/>
          <w:rtl/>
          <w:lang w:bidi="ar-DZ"/>
        </w:rPr>
        <w:t>؛</w:t>
      </w:r>
      <w:r w:rsidRPr="002C2180">
        <w:rPr>
          <w:rFonts w:ascii="Traditional Arabic" w:hAnsi="Traditional Arabic" w:cs="Traditional Arabic" w:hint="cs"/>
          <w:sz w:val="32"/>
          <w:szCs w:val="32"/>
          <w:rtl/>
          <w:lang w:bidi="ar-DZ"/>
        </w:rPr>
        <w:t xml:space="preserve"> </w:t>
      </w:r>
    </w:p>
    <w:p w:rsidR="00D0319B" w:rsidRDefault="003E2A9E" w:rsidP="00783412">
      <w:pPr>
        <w:tabs>
          <w:tab w:val="right" w:pos="567"/>
        </w:tabs>
        <w:bidi/>
        <w:jc w:val="both"/>
        <w:rPr>
          <w:rFonts w:ascii="Traditional Arabic" w:hAnsi="Traditional Arabic" w:cs="Traditional Arabic"/>
          <w:sz w:val="32"/>
          <w:szCs w:val="32"/>
          <w:lang w:bidi="ar-DZ"/>
        </w:rPr>
      </w:pPr>
      <w:r w:rsidRPr="002C2180">
        <w:rPr>
          <w:rFonts w:ascii="Traditional Arabic" w:hAnsi="Traditional Arabic" w:cs="Traditional Arabic" w:hint="cs"/>
          <w:sz w:val="32"/>
          <w:szCs w:val="32"/>
          <w:rtl/>
          <w:lang w:bidi="ar-DZ"/>
        </w:rPr>
        <w:t>- معالجة الاختلالات العالمية الناتجة عن تدفقات رؤوس الأموال الدولية باستخدام السياسات الهيكلية والاقتصادية الكلية في إعادة التوازن بين حجم الادخار والاستثمار في هذه الاقتصاديات واللجوء إلى العمل التنظيمي في الحد من المخاطر النظامية الناشئة من تدفقات رؤوس الأموال بفرض قيود على انكشاف المؤسسات المالية</w:t>
      </w:r>
      <w:r w:rsidRPr="002C2180">
        <w:rPr>
          <w:rStyle w:val="Appelnotedebasdep"/>
          <w:rFonts w:ascii="Traditional Arabic" w:hAnsi="Traditional Arabic" w:cs="Traditional Arabic"/>
          <w:sz w:val="32"/>
          <w:szCs w:val="32"/>
          <w:rtl/>
          <w:lang w:bidi="ar-DZ"/>
        </w:rPr>
        <w:footnoteReference w:id="64"/>
      </w:r>
      <w:r w:rsidRPr="002C2180">
        <w:rPr>
          <w:rFonts w:ascii="Traditional Arabic" w:hAnsi="Traditional Arabic" w:cs="Traditional Arabic" w:hint="cs"/>
          <w:sz w:val="32"/>
          <w:szCs w:val="32"/>
          <w:rtl/>
          <w:lang w:bidi="ar-DZ"/>
        </w:rPr>
        <w:t xml:space="preserve">. </w:t>
      </w:r>
    </w:p>
    <w:p w:rsidR="00A51E5E" w:rsidRDefault="00A51E5E" w:rsidP="00A51E5E">
      <w:pPr>
        <w:tabs>
          <w:tab w:val="left" w:pos="1194"/>
        </w:tabs>
        <w:bidi/>
        <w:rPr>
          <w:rFonts w:ascii="Traditional Arabic" w:hAnsi="Traditional Arabic" w:cs="Traditional Arabic"/>
          <w:sz w:val="32"/>
          <w:szCs w:val="32"/>
          <w:rtl/>
          <w:lang w:bidi="ar-DZ"/>
        </w:rPr>
      </w:pPr>
    </w:p>
    <w:p w:rsidR="00A51E5E" w:rsidRDefault="00A51E5E" w:rsidP="00A51E5E">
      <w:pPr>
        <w:tabs>
          <w:tab w:val="left" w:pos="1194"/>
        </w:tabs>
        <w:bidi/>
        <w:rPr>
          <w:rFonts w:ascii="Traditional Arabic" w:hAnsi="Traditional Arabic" w:cs="Traditional Arabic"/>
          <w:sz w:val="32"/>
          <w:szCs w:val="32"/>
          <w:rtl/>
          <w:lang w:bidi="ar-DZ"/>
        </w:rPr>
      </w:pPr>
    </w:p>
    <w:p w:rsidR="00A51E5E" w:rsidRDefault="00A51E5E" w:rsidP="00A51E5E">
      <w:pPr>
        <w:tabs>
          <w:tab w:val="left" w:pos="1194"/>
        </w:tabs>
        <w:bidi/>
        <w:rPr>
          <w:rFonts w:ascii="Traditional Arabic" w:hAnsi="Traditional Arabic" w:cs="Traditional Arabic"/>
          <w:sz w:val="32"/>
          <w:szCs w:val="32"/>
          <w:rtl/>
          <w:lang w:bidi="ar-DZ"/>
        </w:rPr>
      </w:pPr>
    </w:p>
    <w:tbl>
      <w:tblPr>
        <w:tblStyle w:val="Grilledutableau"/>
        <w:tblpPr w:leftFromText="141" w:rightFromText="141" w:vertAnchor="page" w:horzAnchor="margin" w:tblpXSpec="center" w:tblpY="1958"/>
        <w:tblW w:w="9889" w:type="dxa"/>
        <w:tblLook w:val="04A0"/>
      </w:tblPr>
      <w:tblGrid>
        <w:gridCol w:w="2471"/>
        <w:gridCol w:w="2471"/>
        <w:gridCol w:w="2474"/>
        <w:gridCol w:w="2473"/>
      </w:tblGrid>
      <w:tr w:rsidR="00D42BEB" w:rsidRPr="00D42BEB" w:rsidTr="00D42BEB">
        <w:trPr>
          <w:trHeight w:val="311"/>
        </w:trPr>
        <w:tc>
          <w:tcPr>
            <w:tcW w:w="9889" w:type="dxa"/>
            <w:gridSpan w:val="4"/>
          </w:tcPr>
          <w:p w:rsidR="00D42BEB" w:rsidRPr="00D42BEB" w:rsidRDefault="00D42BEB" w:rsidP="00D42BEB">
            <w:pPr>
              <w:bidi/>
              <w:jc w:val="both"/>
              <w:rPr>
                <w:rFonts w:ascii="Traditional Arabic" w:hAnsi="Traditional Arabic" w:cs="Traditional Arabic"/>
                <w:b/>
                <w:bCs/>
              </w:rPr>
            </w:pPr>
            <w:r w:rsidRPr="00D42BEB">
              <w:rPr>
                <w:rFonts w:ascii="Traditional Arabic" w:hAnsi="Traditional Arabic" w:cs="Traditional Arabic"/>
                <w:b/>
                <w:bCs/>
                <w:rtl/>
              </w:rPr>
              <w:lastRenderedPageBreak/>
              <w:t>أعمال التنظيم والرقابة في القطاع المالي</w:t>
            </w:r>
          </w:p>
        </w:tc>
      </w:tr>
      <w:tr w:rsidR="00D42BEB" w:rsidRPr="00D42BEB" w:rsidTr="00D42BEB">
        <w:trPr>
          <w:trHeight w:val="1779"/>
        </w:trPr>
        <w:tc>
          <w:tcPr>
            <w:tcW w:w="2471" w:type="dxa"/>
          </w:tcPr>
          <w:p w:rsidR="00D42BEB" w:rsidRPr="00D42BEB" w:rsidRDefault="00D42BEB" w:rsidP="00D42BEB">
            <w:pPr>
              <w:bidi/>
              <w:jc w:val="both"/>
              <w:rPr>
                <w:rFonts w:ascii="Traditional Arabic" w:hAnsi="Traditional Arabic" w:cs="Traditional Arabic"/>
                <w:b/>
                <w:bCs/>
              </w:rPr>
            </w:pPr>
            <w:r w:rsidRPr="00D42BEB">
              <w:rPr>
                <w:rFonts w:ascii="Traditional Arabic" w:hAnsi="Traditional Arabic" w:cs="Traditional Arabic"/>
                <w:b/>
                <w:bCs/>
                <w:rtl/>
              </w:rPr>
              <w:t>الفجوات في المعلومات</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الشفافية في تقييم الأدوات المعقدة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تحسين المعلومات عن مشتقات السوق غير الرسمية، وترتيبات المقاصة</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الإبلاغ ببيانات الانكشافات داخل وخارج الميزانية العمومية للسماح بتقييم المخاطر النظامية</w:t>
            </w:r>
          </w:p>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إدارة السيولة النظامية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التخطيط للخروج من التدابير المخصصة في الوقت المناسب وعلى نحو منظم</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تقوية البنية التحتية لعمليات إعادة الشراء في أسواق المال وتوفير الحواجز للاحتفاظ بضمانات عالية الجودة</w:t>
            </w:r>
          </w:p>
        </w:tc>
        <w:tc>
          <w:tcPr>
            <w:tcW w:w="2471" w:type="dxa"/>
          </w:tcPr>
          <w:p w:rsidR="00D42BEB" w:rsidRPr="00D42BEB" w:rsidRDefault="00D42BEB" w:rsidP="00D42BEB">
            <w:pPr>
              <w:bidi/>
              <w:jc w:val="both"/>
              <w:rPr>
                <w:rFonts w:ascii="Traditional Arabic" w:hAnsi="Traditional Arabic" w:cs="Traditional Arabic"/>
                <w:b/>
                <w:bCs/>
              </w:rPr>
            </w:pPr>
            <w:r w:rsidRPr="00D42BEB">
              <w:rPr>
                <w:rFonts w:ascii="Traditional Arabic" w:hAnsi="Traditional Arabic" w:cs="Traditional Arabic"/>
                <w:b/>
                <w:bCs/>
                <w:rtl/>
              </w:rPr>
              <w:t>مسايرة الاتجاهات الدورية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رأس المال الإلزامي المضاد للاتجاهات الدورية، ونسب الرفع المالي التكميلية للبنوك، و رصد المخصصات على امتداد الدورة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نماذج التعويض على أساس المخاطر تخضع للرقابة التنظيمية، وفصل توزيعات الأرباح السنوية أو ربطها بالعائد على الأصول وليس على حصص رأس المال</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توفير بيانات داعمة عن التباين، وتاريخ الأسعار في محاسبة القيمة العادلة، وتوجيهات حول التقييم حسب النموذج، معالجة فترات الصعود والهبوط الدوري على نحو متناسق</w:t>
            </w:r>
          </w:p>
        </w:tc>
        <w:tc>
          <w:tcPr>
            <w:tcW w:w="2474" w:type="dxa"/>
          </w:tcPr>
          <w:p w:rsidR="00D42BEB" w:rsidRPr="00D42BEB" w:rsidRDefault="00D42BEB" w:rsidP="00D42BEB">
            <w:pPr>
              <w:bidi/>
              <w:jc w:val="both"/>
              <w:rPr>
                <w:rFonts w:ascii="Traditional Arabic" w:hAnsi="Traditional Arabic" w:cs="Traditional Arabic"/>
                <w:b/>
                <w:bCs/>
              </w:rPr>
            </w:pPr>
            <w:r w:rsidRPr="00D42BEB">
              <w:rPr>
                <w:rFonts w:ascii="Traditional Arabic" w:hAnsi="Traditional Arabic" w:cs="Traditional Arabic"/>
                <w:b/>
                <w:bCs/>
                <w:rtl/>
              </w:rPr>
              <w:t>انضباط السوق</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تقليص تضارب المصالح في هيئات التصنيف الائتماني</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xml:space="preserve">- التشجيع على التحقق من هوية المستثمر </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خفض الاعتماد على التصنيفات الائتمانية لاستيفاء القواعد الاحترازية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مقياس متمايز للمنتجات المهيكلة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تثبيط قيام المؤسسات العملاقة وزيادة الرقابة عليها</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xml:space="preserve">- الحفاظ على الوظائف الرئيسية للبنوك المؤثرة على النظام الاقتصادي في حالة الحراسة القضائية، ووضع دوافع واضحة للتدخل، ووضوح مسار اقتسام الخسائر </w:t>
            </w:r>
          </w:p>
        </w:tc>
        <w:tc>
          <w:tcPr>
            <w:tcW w:w="2473"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الحدود التنظيمية والرقابية</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رصد جميع المخطر والمؤسسات النظامية</w:t>
            </w:r>
          </w:p>
          <w:p w:rsidR="00D42BEB" w:rsidRPr="00D42BEB" w:rsidRDefault="00D42BEB" w:rsidP="00D42BEB">
            <w:pPr>
              <w:bidi/>
              <w:jc w:val="both"/>
              <w:rPr>
                <w:rFonts w:ascii="Traditional Arabic" w:hAnsi="Traditional Arabic" w:cs="Traditional Arabic"/>
                <w:rtl/>
                <w:lang w:bidi="ar-DZ"/>
              </w:rPr>
            </w:pPr>
            <w:r w:rsidRPr="00D42BEB">
              <w:rPr>
                <w:rFonts w:ascii="Traditional Arabic" w:hAnsi="Traditional Arabic" w:cs="Traditional Arabic"/>
                <w:rtl/>
                <w:lang w:bidi="ar-DZ"/>
              </w:rPr>
              <w:t>- توضيح صلاحيات الإشراف على الاستقرار النظامي</w:t>
            </w:r>
          </w:p>
          <w:p w:rsidR="00D42BEB" w:rsidRPr="00D42BEB" w:rsidRDefault="00D42BEB" w:rsidP="00D42BEB">
            <w:pPr>
              <w:bidi/>
              <w:jc w:val="both"/>
              <w:rPr>
                <w:rFonts w:ascii="Traditional Arabic" w:hAnsi="Traditional Arabic" w:cs="Traditional Arabic"/>
                <w:rtl/>
                <w:lang w:bidi="ar-DZ"/>
              </w:rPr>
            </w:pPr>
            <w:r w:rsidRPr="00D42BEB">
              <w:rPr>
                <w:rFonts w:ascii="Traditional Arabic" w:hAnsi="Traditional Arabic" w:cs="Traditional Arabic"/>
                <w:rtl/>
                <w:lang w:bidi="ar-DZ"/>
              </w:rPr>
              <w:t>- الإفصاح لتحديد المساهمة في المخاطر، والمراقبة التدريجية</w:t>
            </w:r>
          </w:p>
          <w:p w:rsidR="00D42BEB" w:rsidRPr="00D42BEB" w:rsidRDefault="00D42BEB" w:rsidP="00D42BEB">
            <w:pPr>
              <w:bidi/>
              <w:jc w:val="both"/>
              <w:rPr>
                <w:rFonts w:ascii="Traditional Arabic" w:hAnsi="Traditional Arabic" w:cs="Traditional Arabic"/>
                <w:rtl/>
                <w:lang w:bidi="ar-DZ"/>
              </w:rPr>
            </w:pPr>
            <w:r w:rsidRPr="00D42BEB">
              <w:rPr>
                <w:rFonts w:ascii="Traditional Arabic" w:hAnsi="Traditional Arabic" w:cs="Traditional Arabic"/>
                <w:rtl/>
                <w:lang w:bidi="ar-DZ"/>
              </w:rPr>
              <w:t>- المراقبة القائمة على الحوافز، مثل رسوم تفضيلية على عمليات التداول والمقاصة الأكثر أمانا من الناحية النظامية</w:t>
            </w:r>
          </w:p>
          <w:p w:rsidR="00D42BEB" w:rsidRPr="00D42BEB" w:rsidRDefault="00D42BEB" w:rsidP="00D42BEB">
            <w:pPr>
              <w:bidi/>
              <w:jc w:val="both"/>
              <w:rPr>
                <w:rFonts w:ascii="Traditional Arabic" w:hAnsi="Traditional Arabic" w:cs="Traditional Arabic"/>
                <w:rtl/>
                <w:lang w:bidi="ar-DZ"/>
              </w:rPr>
            </w:pPr>
            <w:r w:rsidRPr="00D42BEB">
              <w:rPr>
                <w:rFonts w:ascii="Traditional Arabic" w:hAnsi="Traditional Arabic" w:cs="Traditional Arabic"/>
                <w:rtl/>
                <w:lang w:bidi="ar-DZ"/>
              </w:rPr>
              <w:t>- التنظيم على أساس النشاط وليس المؤسسات</w:t>
            </w:r>
          </w:p>
          <w:p w:rsidR="00D42BEB" w:rsidRPr="00D42BEB" w:rsidRDefault="00D42BEB" w:rsidP="00D42BEB">
            <w:pPr>
              <w:bidi/>
              <w:jc w:val="both"/>
              <w:rPr>
                <w:rFonts w:ascii="Traditional Arabic" w:hAnsi="Traditional Arabic" w:cs="Traditional Arabic"/>
                <w:rtl/>
                <w:lang w:bidi="ar-DZ"/>
              </w:rPr>
            </w:pPr>
            <w:r w:rsidRPr="00D42BEB">
              <w:rPr>
                <w:rFonts w:ascii="Traditional Arabic" w:hAnsi="Traditional Arabic" w:cs="Traditional Arabic"/>
                <w:rtl/>
                <w:lang w:bidi="ar-DZ"/>
              </w:rPr>
              <w:t>الحفاظ بحدود مرنة للسماح بالتكيف مع مرور الوقت.</w:t>
            </w:r>
          </w:p>
        </w:tc>
      </w:tr>
      <w:tr w:rsidR="00D42BEB" w:rsidRPr="00D42BEB" w:rsidTr="00D42BEB">
        <w:trPr>
          <w:trHeight w:val="319"/>
        </w:trPr>
        <w:tc>
          <w:tcPr>
            <w:tcW w:w="9889" w:type="dxa"/>
            <w:gridSpan w:val="4"/>
          </w:tcPr>
          <w:p w:rsidR="00D42BEB" w:rsidRPr="00D42BEB" w:rsidRDefault="00D42BEB" w:rsidP="00D42BEB">
            <w:pPr>
              <w:bidi/>
              <w:jc w:val="both"/>
              <w:rPr>
                <w:rFonts w:ascii="Traditional Arabic" w:hAnsi="Traditional Arabic" w:cs="Traditional Arabic"/>
                <w:b/>
                <w:bCs/>
              </w:rPr>
            </w:pPr>
            <w:r w:rsidRPr="00D42BEB">
              <w:rPr>
                <w:rFonts w:ascii="Traditional Arabic" w:hAnsi="Traditional Arabic" w:cs="Traditional Arabic"/>
                <w:b/>
                <w:bCs/>
                <w:rtl/>
              </w:rPr>
              <w:t>السياسات الاقتصادية الكلية</w:t>
            </w:r>
          </w:p>
        </w:tc>
      </w:tr>
      <w:tr w:rsidR="00D42BEB" w:rsidRPr="00D42BEB" w:rsidTr="00D42BEB">
        <w:trPr>
          <w:trHeight w:val="887"/>
        </w:trPr>
        <w:tc>
          <w:tcPr>
            <w:tcW w:w="2471"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الاختلالات العالمية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تجنب الإغفال المعتدل، واستخدام السياسات الكلية والهيكلية المؤثرة على الإدخار والاستثمار</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xml:space="preserve">- استخدام التدابير الاحترازية لكبح المخاطر النظامية </w:t>
            </w:r>
          </w:p>
        </w:tc>
        <w:tc>
          <w:tcPr>
            <w:tcW w:w="2471"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سياسة المالية العامة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زيادة الفوائض في فترات الازدهار لتوفير حيز مالي أكبر لإصدار ردود أفعال حيال الأزمات</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هدف الحياد الضريبي فيما يخص شكل التمويل</w:t>
            </w:r>
          </w:p>
        </w:tc>
        <w:tc>
          <w:tcPr>
            <w:tcW w:w="4947" w:type="dxa"/>
            <w:gridSpan w:val="2"/>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السياسة النقدية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صلاحيات الحفاظ على الاستقرار المالي والاقتصادي الكلي، وليس مجرد استقرار الأسعار</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الاستجابة للاتجاهات العامة في تحمل المخاطر على مستوى الاقتصاد، والرفع المالي، ومعالجة العوامل الخارجية للأزمات النظامية</w:t>
            </w:r>
          </w:p>
        </w:tc>
      </w:tr>
      <w:tr w:rsidR="00D42BEB" w:rsidRPr="00D42BEB" w:rsidTr="00D42BEB">
        <w:trPr>
          <w:trHeight w:val="252"/>
        </w:trPr>
        <w:tc>
          <w:tcPr>
            <w:tcW w:w="9889" w:type="dxa"/>
            <w:gridSpan w:val="4"/>
          </w:tcPr>
          <w:p w:rsidR="00D42BEB" w:rsidRPr="00D42BEB" w:rsidRDefault="00D42BEB" w:rsidP="00D42BEB">
            <w:pPr>
              <w:bidi/>
              <w:jc w:val="both"/>
              <w:rPr>
                <w:rFonts w:ascii="Traditional Arabic" w:hAnsi="Traditional Arabic" w:cs="Traditional Arabic"/>
                <w:b/>
                <w:bCs/>
              </w:rPr>
            </w:pPr>
            <w:r w:rsidRPr="00D42BEB">
              <w:rPr>
                <w:rFonts w:ascii="Traditional Arabic" w:hAnsi="Traditional Arabic" w:cs="Traditional Arabic"/>
                <w:b/>
                <w:bCs/>
                <w:rtl/>
              </w:rPr>
              <w:t>البنيان العالمي وصندوق النقد الدولي</w:t>
            </w:r>
          </w:p>
        </w:tc>
      </w:tr>
      <w:tr w:rsidR="00D42BEB" w:rsidRPr="00D42BEB" w:rsidTr="00D42BEB">
        <w:trPr>
          <w:trHeight w:val="887"/>
        </w:trPr>
        <w:tc>
          <w:tcPr>
            <w:tcW w:w="2471"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التمويل</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الصندوق يوفر خطا ائتمانيا وقائيا يتضمن موارد مرتفعة وتحكمه أطر سياسات أقوى</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الجهات الأخرى، زيادة استخدام اتفاقات الاستعداد الائتماني الوقائية ذات الموارد المرتفعة</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سرعة ضمان توافر الموارد الكافية لدى الصندوق للاحتفاظ بالتأثير الموثوق في تحقيق الاستقرار</w:t>
            </w:r>
          </w:p>
        </w:tc>
        <w:tc>
          <w:tcPr>
            <w:tcW w:w="2471"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التنظيم المالي</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مدونة سلوك ملزمة على مستوى البلدان، مثل:</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ميثاق دولي للبنوك العاملة عبر مناطق الولاية، أو</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اتفاقيات بين البلدان الأم والبلدان المضيفة حول تقييم المخاطر، وتعمل على إنفاذها مجمعات الأجهزة الرقابية</w:t>
            </w:r>
          </w:p>
        </w:tc>
        <w:tc>
          <w:tcPr>
            <w:tcW w:w="2474"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العمل متعدد الأطراف</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الالتزام بالعمل المنسق: جهاز مركزي للاستجابة حيال المخاطر النظامية في الاقتصاد العالمي</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طرح مسألة إعادة توازن النسب من مجموع الحصص، زيادة التمثيل في المجلس التنفيذي واللجنة الدولية للشؤون النقدية والمالية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تعزيز مشاركة اللجنة الدولية للشؤون النقدية والمالية في مسائل السياسات</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xml:space="preserve">- تحسين مساءلة الصندوق </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الانتقال إلى نظام خيارات مفتوحة حقيقية لإدارة الصندوق</w:t>
            </w:r>
          </w:p>
        </w:tc>
        <w:tc>
          <w:tcPr>
            <w:tcW w:w="2473" w:type="dxa"/>
          </w:tcPr>
          <w:p w:rsidR="00D42BEB" w:rsidRPr="00D42BEB" w:rsidRDefault="00D42BEB" w:rsidP="00D42BEB">
            <w:pPr>
              <w:bidi/>
              <w:jc w:val="both"/>
              <w:rPr>
                <w:rFonts w:ascii="Traditional Arabic" w:hAnsi="Traditional Arabic" w:cs="Traditional Arabic"/>
                <w:b/>
                <w:bCs/>
                <w:rtl/>
              </w:rPr>
            </w:pPr>
            <w:r w:rsidRPr="00D42BEB">
              <w:rPr>
                <w:rFonts w:ascii="Traditional Arabic" w:hAnsi="Traditional Arabic" w:cs="Traditional Arabic"/>
                <w:b/>
                <w:bCs/>
                <w:rtl/>
              </w:rPr>
              <w:t>الرقابة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الإنذار الدقيق المبكر واستجابات محددة على صعيد السياسات</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إدراج قضايا القطاع المالي في تقرير "آفاق الاقتصاد العالمي" ومشاورات المادة الرابعة</w:t>
            </w:r>
          </w:p>
          <w:p w:rsidR="00D42BEB" w:rsidRPr="00D42BEB" w:rsidRDefault="00D42BEB" w:rsidP="00D42BEB">
            <w:pPr>
              <w:bidi/>
              <w:jc w:val="both"/>
              <w:rPr>
                <w:rFonts w:ascii="Traditional Arabic" w:hAnsi="Traditional Arabic" w:cs="Traditional Arabic"/>
                <w:rtl/>
              </w:rPr>
            </w:pPr>
            <w:r w:rsidRPr="00D42BEB">
              <w:rPr>
                <w:rFonts w:ascii="Traditional Arabic" w:hAnsi="Traditional Arabic" w:cs="Traditional Arabic"/>
                <w:rtl/>
              </w:rPr>
              <w:t>- برامج تقييم القطاع المالي المواضيعية القائمة على المخاطر، إلزام كل البلدان المؤثرة على النظام الاقتصادي</w:t>
            </w:r>
          </w:p>
          <w:p w:rsidR="00D42BEB" w:rsidRPr="00D42BEB" w:rsidRDefault="00D42BEB" w:rsidP="00D42BEB">
            <w:pPr>
              <w:bidi/>
              <w:jc w:val="both"/>
              <w:rPr>
                <w:rFonts w:ascii="Traditional Arabic" w:hAnsi="Traditional Arabic" w:cs="Traditional Arabic"/>
              </w:rPr>
            </w:pPr>
            <w:r w:rsidRPr="00D42BEB">
              <w:rPr>
                <w:rFonts w:ascii="Traditional Arabic" w:hAnsi="Traditional Arabic" w:cs="Traditional Arabic"/>
                <w:rtl/>
              </w:rPr>
              <w:t>- التركيز على كافة مصادر المخاطر النظامية، في الأسواق المتقدمة والصاعدة، بما في ذلك المخاطر النظامية من التدفقات الرأسمالية عبر الحدود وعدم اتساق أسعار العملات</w:t>
            </w:r>
          </w:p>
        </w:tc>
      </w:tr>
    </w:tbl>
    <w:p w:rsidR="00066B12" w:rsidRPr="007B58F0" w:rsidRDefault="00066B12" w:rsidP="007B58F0">
      <w:pPr>
        <w:bidi/>
        <w:spacing w:after="0" w:line="240" w:lineRule="auto"/>
        <w:jc w:val="both"/>
        <w:rPr>
          <w:rFonts w:ascii="Traditional Arabic" w:hAnsi="Traditional Arabic" w:cs="Traditional Arabic"/>
          <w:b/>
          <w:bCs/>
          <w:sz w:val="32"/>
          <w:szCs w:val="32"/>
          <w:rtl/>
          <w:lang w:bidi="ar-DZ"/>
        </w:rPr>
      </w:pPr>
      <w:r w:rsidRPr="00150D96">
        <w:rPr>
          <w:rFonts w:ascii="Traditional Arabic" w:hAnsi="Traditional Arabic" w:cs="Traditional Arabic" w:hint="cs"/>
          <w:b/>
          <w:bCs/>
          <w:sz w:val="24"/>
          <w:szCs w:val="24"/>
          <w:rtl/>
          <w:lang w:bidi="ar-DZ"/>
        </w:rPr>
        <w:t xml:space="preserve">5- </w:t>
      </w:r>
      <w:r w:rsidRPr="00150D96">
        <w:rPr>
          <w:rFonts w:ascii="Traditional Arabic" w:hAnsi="Traditional Arabic" w:cs="Traditional Arabic" w:hint="cs"/>
          <w:b/>
          <w:bCs/>
          <w:sz w:val="32"/>
          <w:szCs w:val="32"/>
          <w:rtl/>
          <w:lang w:bidi="ar-DZ"/>
        </w:rPr>
        <w:t xml:space="preserve">أهم المقترحات المستخلصة للوقاية من تكرار الأزمة المالية العالمية: </w:t>
      </w:r>
      <w:r>
        <w:rPr>
          <w:rFonts w:ascii="Traditional Arabic" w:hAnsi="Traditional Arabic" w:cs="Traditional Arabic" w:hint="cs"/>
          <w:b/>
          <w:bCs/>
          <w:sz w:val="32"/>
          <w:szCs w:val="32"/>
          <w:rtl/>
          <w:lang w:bidi="ar-DZ"/>
        </w:rPr>
        <w:t xml:space="preserve">    </w:t>
      </w:r>
    </w:p>
    <w:p w:rsidR="00813AEE" w:rsidRDefault="00CF3385" w:rsidP="00961290">
      <w:pPr>
        <w:tabs>
          <w:tab w:val="left" w:pos="1194"/>
        </w:tabs>
        <w:bidi/>
        <w:spacing w:after="0" w:line="240" w:lineRule="auto"/>
        <w:jc w:val="both"/>
        <w:rPr>
          <w:rFonts w:ascii="Traditional Arabic" w:hAnsi="Traditional Arabic" w:cs="Traditional Arabic"/>
          <w:sz w:val="24"/>
          <w:szCs w:val="24"/>
          <w:rtl/>
          <w:lang w:bidi="ar-DZ"/>
        </w:rPr>
      </w:pPr>
      <w:r w:rsidRPr="007B58F0">
        <w:rPr>
          <w:rFonts w:ascii="Traditional Arabic" w:hAnsi="Traditional Arabic" w:cs="Traditional Arabic" w:hint="cs"/>
          <w:sz w:val="24"/>
          <w:szCs w:val="24"/>
          <w:rtl/>
          <w:lang w:bidi="ar-DZ"/>
        </w:rPr>
        <w:t>المصدر: إدارة البحوث، إدارة الأسواق النقدية والرأسمالية، إدارة الاستراتيجيات والسياسات المراجعة</w:t>
      </w:r>
      <w:r w:rsidR="00F821F5">
        <w:rPr>
          <w:rFonts w:ascii="Traditional Arabic" w:hAnsi="Traditional Arabic" w:cs="Traditional Arabic" w:hint="cs"/>
          <w:sz w:val="24"/>
          <w:szCs w:val="24"/>
          <w:rtl/>
          <w:lang w:bidi="ar-DZ"/>
        </w:rPr>
        <w:t>:</w:t>
      </w:r>
      <w:r w:rsidRPr="007B58F0">
        <w:rPr>
          <w:rFonts w:ascii="Traditional Arabic" w:hAnsi="Traditional Arabic" w:cs="Traditional Arabic" w:hint="cs"/>
          <w:sz w:val="24"/>
          <w:szCs w:val="24"/>
          <w:rtl/>
          <w:lang w:bidi="ar-DZ"/>
        </w:rPr>
        <w:t xml:space="preserve"> الدروس الأولية المستخلصة من الأزمة، صندوق النقد الدولي</w:t>
      </w:r>
      <w:r w:rsidR="002971CA" w:rsidRPr="007B58F0">
        <w:rPr>
          <w:rFonts w:ascii="Traditional Arabic" w:hAnsi="Traditional Arabic" w:cs="Traditional Arabic" w:hint="cs"/>
          <w:sz w:val="24"/>
          <w:szCs w:val="24"/>
          <w:rtl/>
          <w:lang w:bidi="ar-DZ"/>
        </w:rPr>
        <w:t xml:space="preserve">، </w:t>
      </w:r>
      <w:r w:rsidR="00BD417A" w:rsidRPr="007B007E">
        <w:rPr>
          <w:rFonts w:ascii="Traditional Arabic" w:hAnsi="Traditional Arabic" w:cs="Traditional Arabic" w:hint="cs"/>
          <w:sz w:val="20"/>
          <w:szCs w:val="20"/>
          <w:rtl/>
          <w:lang w:bidi="ar-DZ"/>
        </w:rPr>
        <w:t xml:space="preserve">6 </w:t>
      </w:r>
      <w:r w:rsidR="00BD417A" w:rsidRPr="007B58F0">
        <w:rPr>
          <w:rFonts w:ascii="Traditional Arabic" w:hAnsi="Traditional Arabic" w:cs="Traditional Arabic" w:hint="cs"/>
          <w:sz w:val="24"/>
          <w:szCs w:val="24"/>
          <w:rtl/>
          <w:lang w:bidi="ar-DZ"/>
        </w:rPr>
        <w:t xml:space="preserve">فيفري </w:t>
      </w:r>
      <w:r w:rsidR="00BD417A" w:rsidRPr="007B007E">
        <w:rPr>
          <w:rFonts w:ascii="Traditional Arabic" w:hAnsi="Traditional Arabic" w:cs="Traditional Arabic" w:hint="cs"/>
          <w:sz w:val="20"/>
          <w:szCs w:val="20"/>
          <w:rtl/>
          <w:lang w:bidi="ar-DZ"/>
        </w:rPr>
        <w:t>2009</w:t>
      </w:r>
      <w:r w:rsidR="00750D5C">
        <w:rPr>
          <w:rFonts w:ascii="Traditional Arabic" w:hAnsi="Traditional Arabic" w:cs="Traditional Arabic" w:hint="cs"/>
          <w:sz w:val="24"/>
          <w:szCs w:val="24"/>
          <w:rtl/>
          <w:lang w:bidi="ar-DZ"/>
        </w:rPr>
        <w:t xml:space="preserve">، ص </w:t>
      </w:r>
      <w:r w:rsidR="00750D5C" w:rsidRPr="00750D5C">
        <w:rPr>
          <w:rFonts w:ascii="Traditional Arabic" w:hAnsi="Traditional Arabic" w:cs="Traditional Arabic" w:hint="cs"/>
          <w:sz w:val="20"/>
          <w:szCs w:val="20"/>
          <w:rtl/>
          <w:lang w:bidi="ar-DZ"/>
        </w:rPr>
        <w:t>18</w:t>
      </w:r>
      <w:r w:rsidR="00750D5C">
        <w:rPr>
          <w:rFonts w:ascii="Traditional Arabic" w:hAnsi="Traditional Arabic" w:cs="Traditional Arabic" w:hint="cs"/>
          <w:sz w:val="24"/>
          <w:szCs w:val="24"/>
          <w:rtl/>
          <w:lang w:bidi="ar-DZ"/>
        </w:rPr>
        <w:t xml:space="preserve">. </w:t>
      </w:r>
      <w:r w:rsidR="00032863">
        <w:rPr>
          <w:rFonts w:ascii="Traditional Arabic" w:hAnsi="Traditional Arabic" w:cs="Traditional Arabic" w:hint="cs"/>
          <w:sz w:val="24"/>
          <w:szCs w:val="24"/>
          <w:rtl/>
          <w:lang w:bidi="ar-DZ"/>
        </w:rPr>
        <w:t xml:space="preserve">(لمزيد من المعلومات، </w:t>
      </w:r>
      <w:r w:rsidR="00961290">
        <w:rPr>
          <w:rFonts w:ascii="Traditional Arabic" w:hAnsi="Traditional Arabic" w:cs="Traditional Arabic" w:hint="cs"/>
          <w:sz w:val="24"/>
          <w:szCs w:val="24"/>
          <w:rtl/>
          <w:lang w:bidi="ar-DZ"/>
        </w:rPr>
        <w:t xml:space="preserve">في </w:t>
      </w:r>
      <w:r w:rsidR="00032863">
        <w:rPr>
          <w:rFonts w:ascii="Traditional Arabic" w:hAnsi="Traditional Arabic" w:cs="Traditional Arabic" w:hint="cs"/>
          <w:sz w:val="24"/>
          <w:szCs w:val="24"/>
          <w:rtl/>
          <w:lang w:bidi="ar-DZ"/>
        </w:rPr>
        <w:t xml:space="preserve">هذا </w:t>
      </w:r>
      <w:r w:rsidR="00961290">
        <w:rPr>
          <w:rFonts w:ascii="Traditional Arabic" w:hAnsi="Traditional Arabic" w:cs="Traditional Arabic" w:hint="cs"/>
          <w:sz w:val="24"/>
          <w:szCs w:val="24"/>
          <w:rtl/>
          <w:lang w:bidi="ar-DZ"/>
        </w:rPr>
        <w:t>المصدر هناك</w:t>
      </w:r>
      <w:r w:rsidR="00032863">
        <w:rPr>
          <w:rFonts w:ascii="Traditional Arabic" w:hAnsi="Traditional Arabic" w:cs="Traditional Arabic" w:hint="cs"/>
          <w:sz w:val="24"/>
          <w:szCs w:val="24"/>
          <w:rtl/>
          <w:lang w:bidi="ar-DZ"/>
        </w:rPr>
        <w:t xml:space="preserve"> </w:t>
      </w:r>
      <w:r w:rsidR="00C146A7">
        <w:rPr>
          <w:rFonts w:ascii="Traditional Arabic" w:hAnsi="Traditional Arabic" w:cs="Traditional Arabic" w:hint="cs"/>
          <w:sz w:val="24"/>
          <w:szCs w:val="24"/>
          <w:rtl/>
          <w:lang w:bidi="ar-DZ"/>
        </w:rPr>
        <w:t xml:space="preserve">شرح </w:t>
      </w:r>
      <w:r w:rsidR="00961290">
        <w:rPr>
          <w:rFonts w:ascii="Traditional Arabic" w:hAnsi="Traditional Arabic" w:cs="Traditional Arabic" w:hint="cs"/>
          <w:sz w:val="24"/>
          <w:szCs w:val="24"/>
          <w:rtl/>
          <w:lang w:bidi="ar-DZ"/>
        </w:rPr>
        <w:t>مفصل</w:t>
      </w:r>
      <w:r w:rsidR="00C146A7">
        <w:rPr>
          <w:rFonts w:ascii="Traditional Arabic" w:hAnsi="Traditional Arabic" w:cs="Traditional Arabic" w:hint="cs"/>
          <w:sz w:val="24"/>
          <w:szCs w:val="24"/>
          <w:rtl/>
          <w:lang w:bidi="ar-DZ"/>
        </w:rPr>
        <w:t xml:space="preserve"> </w:t>
      </w:r>
      <w:r w:rsidR="00961290">
        <w:rPr>
          <w:rFonts w:ascii="Traditional Arabic" w:hAnsi="Traditional Arabic" w:cs="Traditional Arabic" w:hint="cs"/>
          <w:sz w:val="24"/>
          <w:szCs w:val="24"/>
          <w:rtl/>
          <w:lang w:bidi="ar-DZ"/>
        </w:rPr>
        <w:t>ل</w:t>
      </w:r>
      <w:r w:rsidR="00032863">
        <w:rPr>
          <w:rFonts w:ascii="Traditional Arabic" w:hAnsi="Traditional Arabic" w:cs="Traditional Arabic" w:hint="cs"/>
          <w:sz w:val="24"/>
          <w:szCs w:val="24"/>
          <w:rtl/>
          <w:lang w:bidi="ar-DZ"/>
        </w:rPr>
        <w:t>كل نقاط الجدول)</w:t>
      </w:r>
      <w:r w:rsidR="00813AEE">
        <w:rPr>
          <w:rFonts w:ascii="Traditional Arabic" w:hAnsi="Traditional Arabic" w:cs="Traditional Arabic" w:hint="cs"/>
          <w:sz w:val="24"/>
          <w:szCs w:val="24"/>
          <w:rtl/>
          <w:lang w:bidi="ar-DZ"/>
        </w:rPr>
        <w:t xml:space="preserve">. </w:t>
      </w:r>
      <w:r w:rsidR="00750D5C">
        <w:rPr>
          <w:rFonts w:ascii="Traditional Arabic" w:hAnsi="Traditional Arabic" w:cs="Traditional Arabic" w:hint="cs"/>
          <w:sz w:val="24"/>
          <w:szCs w:val="24"/>
          <w:rtl/>
          <w:lang w:bidi="ar-DZ"/>
        </w:rPr>
        <w:t xml:space="preserve"> </w:t>
      </w:r>
      <w:r w:rsidR="00032863">
        <w:rPr>
          <w:rFonts w:ascii="Traditional Arabic" w:hAnsi="Traditional Arabic" w:cs="Traditional Arabic" w:hint="cs"/>
          <w:sz w:val="24"/>
          <w:szCs w:val="24"/>
          <w:rtl/>
          <w:lang w:bidi="ar-DZ"/>
        </w:rPr>
        <w:t xml:space="preserve"> </w:t>
      </w:r>
    </w:p>
    <w:p w:rsidR="00C146A7" w:rsidRPr="007B58F0" w:rsidRDefault="00C146A7" w:rsidP="00C146A7">
      <w:pPr>
        <w:tabs>
          <w:tab w:val="left" w:pos="1194"/>
        </w:tabs>
        <w:bidi/>
        <w:spacing w:after="0" w:line="240" w:lineRule="auto"/>
        <w:jc w:val="both"/>
        <w:rPr>
          <w:rFonts w:ascii="Traditional Arabic" w:hAnsi="Traditional Arabic" w:cs="Traditional Arabic"/>
          <w:sz w:val="24"/>
          <w:szCs w:val="24"/>
          <w:lang w:bidi="ar-DZ"/>
        </w:rPr>
        <w:sectPr w:rsidR="00C146A7" w:rsidRPr="007B58F0" w:rsidSect="00EC74F4">
          <w:headerReference w:type="default" r:id="rId22"/>
          <w:footerReference w:type="default" r:id="rId23"/>
          <w:footnotePr>
            <w:numStart w:val="291"/>
          </w:footnotePr>
          <w:pgSz w:w="11906" w:h="16838"/>
          <w:pgMar w:top="1418" w:right="1418" w:bottom="1418" w:left="1418" w:header="709" w:footer="709" w:gutter="0"/>
          <w:cols w:space="708"/>
          <w:docGrid w:linePitch="360"/>
        </w:sectPr>
      </w:pPr>
    </w:p>
    <w:p w:rsidR="003C134D" w:rsidRPr="008C6685" w:rsidRDefault="003C134D" w:rsidP="007B58F0">
      <w:pPr>
        <w:tabs>
          <w:tab w:val="right" w:pos="567"/>
        </w:tabs>
        <w:bidi/>
        <w:spacing w:after="0"/>
        <w:rPr>
          <w:rFonts w:ascii="Traditional Arabic" w:hAnsi="Traditional Arabic" w:cs="Traditional Arabic"/>
          <w:b/>
          <w:bCs/>
          <w:sz w:val="32"/>
          <w:szCs w:val="32"/>
          <w:lang w:bidi="ar-DZ"/>
        </w:rPr>
      </w:pPr>
      <w:r w:rsidRPr="008C6685">
        <w:rPr>
          <w:rFonts w:ascii="Traditional Arabic" w:hAnsi="Traditional Arabic" w:cs="Traditional Arabic"/>
          <w:b/>
          <w:bCs/>
          <w:sz w:val="32"/>
          <w:szCs w:val="32"/>
          <w:rtl/>
          <w:lang w:bidi="ar-DZ"/>
        </w:rPr>
        <w:lastRenderedPageBreak/>
        <w:t xml:space="preserve">خلاصة: </w:t>
      </w:r>
    </w:p>
    <w:p w:rsidR="003C134D" w:rsidRPr="008C6685" w:rsidRDefault="003C134D" w:rsidP="003C134D">
      <w:pPr>
        <w:tabs>
          <w:tab w:val="right" w:pos="567"/>
        </w:tabs>
        <w:bidi/>
        <w:jc w:val="both"/>
        <w:rPr>
          <w:rFonts w:ascii="Traditional Arabic" w:hAnsi="Traditional Arabic" w:cs="Traditional Arabic"/>
          <w:sz w:val="32"/>
          <w:szCs w:val="32"/>
          <w:rtl/>
          <w:lang w:bidi="ar-DZ"/>
        </w:rPr>
      </w:pPr>
      <w:r w:rsidRPr="008C6685">
        <w:rPr>
          <w:rFonts w:ascii="Traditional Arabic" w:hAnsi="Traditional Arabic" w:cs="Traditional Arabic" w:hint="cs"/>
          <w:sz w:val="32"/>
          <w:szCs w:val="32"/>
          <w:rtl/>
          <w:lang w:bidi="ar-DZ"/>
        </w:rPr>
        <w:t xml:space="preserve">        من خلال هذا الفصل رأينا أن التوريق كان له الدور الرئيسي في انتقال عدوى الأزمة المالية إلى باقي دول العالم، وكان للأزمة المالية انعكاسات على جميع دول العالم، فقد</w:t>
      </w:r>
      <w:r w:rsidRPr="008C6685">
        <w:rPr>
          <w:rFonts w:ascii="Traditional Arabic" w:hAnsi="Traditional Arabic" w:cs="Traditional Arabic"/>
          <w:sz w:val="32"/>
          <w:szCs w:val="32"/>
          <w:rtl/>
          <w:lang w:bidi="ar-DZ"/>
        </w:rPr>
        <w:t xml:space="preserve"> </w:t>
      </w:r>
      <w:r w:rsidRPr="008C6685">
        <w:rPr>
          <w:rFonts w:ascii="Traditional Arabic" w:hAnsi="Traditional Arabic" w:cs="Traditional Arabic" w:hint="cs"/>
          <w:sz w:val="32"/>
          <w:szCs w:val="32"/>
          <w:rtl/>
          <w:lang w:bidi="ar-DZ"/>
        </w:rPr>
        <w:t>تراجعت نسب النمو إلى معدلات منخفضة، و</w:t>
      </w:r>
      <w:r w:rsidRPr="008C6685">
        <w:rPr>
          <w:rFonts w:ascii="Traditional Arabic" w:hAnsi="Traditional Arabic" w:cs="Traditional Arabic"/>
          <w:sz w:val="32"/>
          <w:szCs w:val="32"/>
          <w:rtl/>
          <w:lang w:bidi="ar-DZ"/>
        </w:rPr>
        <w:t>انكمش</w:t>
      </w:r>
      <w:r w:rsidRPr="008C6685">
        <w:rPr>
          <w:rFonts w:ascii="Traditional Arabic" w:hAnsi="Traditional Arabic" w:cs="Traditional Arabic" w:hint="cs"/>
          <w:sz w:val="32"/>
          <w:szCs w:val="32"/>
          <w:rtl/>
          <w:lang w:bidi="ar-DZ"/>
        </w:rPr>
        <w:t>ت</w:t>
      </w:r>
      <w:r w:rsidRPr="008C6685">
        <w:rPr>
          <w:rFonts w:ascii="Traditional Arabic" w:hAnsi="Traditional Arabic" w:cs="Traditional Arabic"/>
          <w:sz w:val="32"/>
          <w:szCs w:val="32"/>
          <w:rtl/>
          <w:lang w:bidi="ar-DZ"/>
        </w:rPr>
        <w:t xml:space="preserve"> التدفقات الرأسمالية العالمية</w:t>
      </w:r>
      <w:r w:rsidRPr="008C6685">
        <w:rPr>
          <w:rFonts w:ascii="Traditional Arabic" w:hAnsi="Traditional Arabic" w:cs="Traditional Arabic" w:hint="cs"/>
          <w:sz w:val="32"/>
          <w:szCs w:val="32"/>
          <w:rtl/>
          <w:lang w:bidi="ar-DZ"/>
        </w:rPr>
        <w:t xml:space="preserve">، كما </w:t>
      </w:r>
      <w:r w:rsidRPr="008C6685">
        <w:rPr>
          <w:rFonts w:ascii="Traditional Arabic" w:hAnsi="Traditional Arabic" w:cs="Traditional Arabic"/>
          <w:sz w:val="32"/>
          <w:szCs w:val="32"/>
          <w:rtl/>
          <w:lang w:bidi="ar-DZ"/>
        </w:rPr>
        <w:t>شهدت الأسواق المالية حالة من</w:t>
      </w:r>
      <w:r w:rsidRPr="008C6685">
        <w:rPr>
          <w:rFonts w:ascii="Traditional Arabic" w:hAnsi="Traditional Arabic" w:cs="Traditional Arabic" w:hint="cs"/>
          <w:sz w:val="32"/>
          <w:szCs w:val="32"/>
          <w:rtl/>
          <w:lang w:bidi="ar-DZ"/>
        </w:rPr>
        <w:t xml:space="preserve"> عدم</w:t>
      </w:r>
      <w:r w:rsidRPr="008C6685">
        <w:rPr>
          <w:rFonts w:ascii="Traditional Arabic" w:hAnsi="Traditional Arabic" w:cs="Traditional Arabic"/>
          <w:sz w:val="32"/>
          <w:szCs w:val="32"/>
          <w:rtl/>
          <w:lang w:bidi="ar-DZ"/>
        </w:rPr>
        <w:t xml:space="preserve"> الاستقرار وظلت خاضعة للضغوط</w:t>
      </w:r>
      <w:r w:rsidRPr="008C6685">
        <w:rPr>
          <w:rFonts w:ascii="Traditional Arabic" w:hAnsi="Traditional Arabic" w:cs="Traditional Arabic" w:hint="cs"/>
          <w:sz w:val="32"/>
          <w:szCs w:val="32"/>
          <w:rtl/>
          <w:lang w:bidi="ar-DZ"/>
        </w:rPr>
        <w:t xml:space="preserve">. </w:t>
      </w:r>
    </w:p>
    <w:p w:rsidR="003C134D" w:rsidRPr="008C6685" w:rsidRDefault="003C134D" w:rsidP="003C134D">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8C6685">
        <w:rPr>
          <w:rFonts w:ascii="Traditional Arabic" w:hAnsi="Traditional Arabic" w:cs="Traditional Arabic" w:hint="cs"/>
          <w:sz w:val="32"/>
          <w:szCs w:val="32"/>
          <w:rtl/>
          <w:lang w:bidi="ar-DZ"/>
        </w:rPr>
        <w:t xml:space="preserve">  وقد عرفت مؤشرات الأسواق المالية العربية الهبوط، وانخفضت أحجام التداول وعدد الشركات المدرجة وعدد الأسهم المتداولة، أما الجهاز المصرفي فقد تعرض إلى نضوب مفاجئ في الأموال الأجنبية، مما حدث تباطؤ في التوسع الائتماني، وتعرضت الصناديق السيادية العربية إلى خسائر، كما تقلص الطلب على النفط وانخفضت أسعاره مما أثر على عائدات الدول العربية المصدرة للنفط، وتراجعت التدفقات الاستثمارية والسياحية، بالإضافة إلى ارتفاع معدلات البطالة وانخفاض مستوى التحويلات المالية من الخارج.     </w:t>
      </w:r>
    </w:p>
    <w:p w:rsidR="003C134D" w:rsidRPr="008C6685" w:rsidRDefault="003C134D" w:rsidP="0071043A">
      <w:pPr>
        <w:tabs>
          <w:tab w:val="right" w:pos="567"/>
        </w:tabs>
        <w:bidi/>
        <w:jc w:val="both"/>
        <w:rPr>
          <w:rFonts w:ascii="Traditional Arabic" w:hAnsi="Traditional Arabic" w:cs="Traditional Arabic"/>
          <w:sz w:val="32"/>
          <w:szCs w:val="32"/>
          <w:rtl/>
          <w:lang w:bidi="ar-DZ"/>
        </w:rPr>
      </w:pPr>
      <w:r w:rsidRPr="008C6685">
        <w:rPr>
          <w:rFonts w:ascii="Traditional Arabic" w:hAnsi="Traditional Arabic" w:cs="Traditional Arabic" w:hint="cs"/>
          <w:sz w:val="32"/>
          <w:szCs w:val="32"/>
          <w:rtl/>
          <w:lang w:bidi="ar-DZ"/>
        </w:rPr>
        <w:t xml:space="preserve">        أما بالنسبة للجزائر، فركود الاقتصاد العالمي أدى إلى تقلص صادراتها من المحروقات وتدهور إيراداتها، وكان لانخفاض أسعار المنتجات المستوردة زيادة في فاتورة الواردات الجزائرية. أما على صعيد الجهاز المصرفي و</w:t>
      </w:r>
      <w:r w:rsidR="00A00DEA">
        <w:rPr>
          <w:rFonts w:ascii="Traditional Arabic" w:hAnsi="Traditional Arabic" w:cs="Traditional Arabic" w:hint="cs"/>
          <w:sz w:val="32"/>
          <w:szCs w:val="32"/>
          <w:rtl/>
          <w:lang w:bidi="ar-DZ"/>
        </w:rPr>
        <w:t>ال</w:t>
      </w:r>
      <w:r w:rsidRPr="008C6685">
        <w:rPr>
          <w:rFonts w:ascii="Traditional Arabic" w:hAnsi="Traditional Arabic" w:cs="Traditional Arabic" w:hint="cs"/>
          <w:sz w:val="32"/>
          <w:szCs w:val="32"/>
          <w:rtl/>
          <w:lang w:bidi="ar-DZ"/>
        </w:rPr>
        <w:t xml:space="preserve">مالي، فضعف ارتباط نظامها المالي بالنظام المالي العالمي، والذي يظهر في انعدام العلاقات بين البنوك الجزائرية والبنوك العالمية فيما يخص التعامل في الأصول المالية والمشتقات المختلفة وقاها من آثار الأزمة، كما أظهرت طريقة تسيير احتياطات الصرف الجزائرية جدواها إلى حد كبير. وكان لتدهور قيمة الدولار مقارنة بالعملات القوية الأخرى انعكاسات سلبية على إيرادات الجزائر </w:t>
      </w:r>
      <w:r w:rsidR="0071043A">
        <w:rPr>
          <w:rFonts w:ascii="Traditional Arabic" w:hAnsi="Traditional Arabic" w:cs="Traditional Arabic" w:hint="cs"/>
          <w:sz w:val="32"/>
          <w:szCs w:val="32"/>
          <w:rtl/>
          <w:lang w:bidi="ar-DZ"/>
        </w:rPr>
        <w:t>التي أغلبها</w:t>
      </w:r>
      <w:r w:rsidRPr="008C6685">
        <w:rPr>
          <w:rFonts w:ascii="Traditional Arabic" w:hAnsi="Traditional Arabic" w:cs="Traditional Arabic" w:hint="cs"/>
          <w:sz w:val="32"/>
          <w:szCs w:val="32"/>
          <w:rtl/>
          <w:lang w:bidi="ar-DZ"/>
        </w:rPr>
        <w:t xml:space="preserve"> بالعملة الأمريكية في وقت تسدد فاتورة الواردات بأورو قوي يستنزف احتياطات البلد من العملة الصعبة، مما دفع إلى تخفيض قيمة الدينار منعا </w:t>
      </w:r>
      <w:r>
        <w:rPr>
          <w:rFonts w:ascii="Traditional Arabic" w:hAnsi="Traditional Arabic" w:cs="Traditional Arabic" w:hint="cs"/>
          <w:sz w:val="32"/>
          <w:szCs w:val="32"/>
          <w:rtl/>
          <w:lang w:bidi="ar-DZ"/>
        </w:rPr>
        <w:t xml:space="preserve">من </w:t>
      </w:r>
      <w:r w:rsidRPr="008C6685">
        <w:rPr>
          <w:rFonts w:ascii="Traditional Arabic" w:hAnsi="Traditional Arabic" w:cs="Traditional Arabic" w:hint="cs"/>
          <w:sz w:val="32"/>
          <w:szCs w:val="32"/>
          <w:rtl/>
          <w:lang w:bidi="ar-DZ"/>
        </w:rPr>
        <w:t xml:space="preserve">استنزاف الاحتياطات.    </w:t>
      </w:r>
      <w:r>
        <w:rPr>
          <w:rFonts w:ascii="Traditional Arabic" w:hAnsi="Traditional Arabic" w:cs="Traditional Arabic" w:hint="cs"/>
          <w:sz w:val="32"/>
          <w:szCs w:val="32"/>
          <w:rtl/>
          <w:lang w:bidi="ar-DZ"/>
        </w:rPr>
        <w:t xml:space="preserve"> </w:t>
      </w:r>
    </w:p>
    <w:p w:rsidR="003C134D" w:rsidRPr="009B2B68" w:rsidRDefault="003C134D" w:rsidP="003C134D">
      <w:pPr>
        <w:tabs>
          <w:tab w:val="right" w:pos="567"/>
        </w:tabs>
        <w:bidi/>
        <w:jc w:val="both"/>
        <w:rPr>
          <w:rFonts w:ascii="Traditional Arabic" w:hAnsi="Traditional Arabic" w:cs="Traditional Arabic"/>
          <w:sz w:val="28"/>
          <w:szCs w:val="28"/>
          <w:rtl/>
          <w:lang w:bidi="ar-DZ"/>
        </w:rPr>
      </w:pPr>
      <w:r w:rsidRPr="009B2B68">
        <w:rPr>
          <w:rFonts w:ascii="Traditional Arabic" w:hAnsi="Traditional Arabic" w:cs="Traditional Arabic" w:hint="cs"/>
          <w:sz w:val="32"/>
          <w:szCs w:val="32"/>
          <w:rtl/>
          <w:lang w:bidi="ar-DZ"/>
        </w:rPr>
        <w:t xml:space="preserve">       ويعد صندوق النقد الدولي المؤسسة النقدية الموكل إليها مهمة إدارة الأزمات المالية وقد حدد ذلك في بنود إنشائها</w:t>
      </w:r>
      <w:r>
        <w:rPr>
          <w:rFonts w:ascii="Traditional Arabic" w:hAnsi="Traditional Arabic" w:cs="Traditional Arabic" w:hint="cs"/>
          <w:sz w:val="32"/>
          <w:szCs w:val="32"/>
          <w:rtl/>
          <w:lang w:bidi="ar-DZ"/>
        </w:rPr>
        <w:t>،</w:t>
      </w:r>
      <w:r w:rsidRPr="009B2B68">
        <w:rPr>
          <w:rFonts w:ascii="Traditional Arabic" w:hAnsi="Traditional Arabic" w:cs="Traditional Arabic" w:hint="cs"/>
          <w:sz w:val="32"/>
          <w:szCs w:val="32"/>
          <w:rtl/>
          <w:lang w:bidi="ar-DZ"/>
        </w:rPr>
        <w:t xml:space="preserve"> ويحتوي صندوق النقد الدولي على جهاز للإنذار المبكر للأزمات المالية، ولكن الواقع أثبت فشل</w:t>
      </w:r>
      <w:r>
        <w:rPr>
          <w:rFonts w:ascii="Traditional Arabic" w:hAnsi="Traditional Arabic" w:cs="Traditional Arabic" w:hint="cs"/>
          <w:sz w:val="32"/>
          <w:szCs w:val="32"/>
          <w:rtl/>
          <w:lang w:bidi="ar-DZ"/>
        </w:rPr>
        <w:t>ه</w:t>
      </w:r>
      <w:r w:rsidRPr="009B2B68">
        <w:rPr>
          <w:rFonts w:ascii="Traditional Arabic" w:hAnsi="Traditional Arabic" w:cs="Traditional Arabic" w:hint="cs"/>
          <w:sz w:val="32"/>
          <w:szCs w:val="32"/>
          <w:rtl/>
          <w:lang w:bidi="ar-DZ"/>
        </w:rPr>
        <w:t xml:space="preserve"> ليس فقط بالتنبؤ بالأزمات بل في إدارتها، لهذا ظهرت اتجاهات تنادي بعملية إصلاحه وتقويته، ولكن هذا لم يمنع من البحث </w:t>
      </w:r>
      <w:r>
        <w:rPr>
          <w:rFonts w:ascii="Traditional Arabic" w:hAnsi="Traditional Arabic" w:cs="Traditional Arabic" w:hint="cs"/>
          <w:sz w:val="32"/>
          <w:szCs w:val="32"/>
          <w:rtl/>
          <w:lang w:bidi="ar-DZ"/>
        </w:rPr>
        <w:t>على وسائل أخرى للوقاية من الأزمات المالية</w:t>
      </w:r>
      <w:r w:rsidRPr="009B2B68">
        <w:rPr>
          <w:rFonts w:ascii="Traditional Arabic" w:hAnsi="Traditional Arabic" w:cs="Traditional Arabic" w:hint="cs"/>
          <w:sz w:val="32"/>
          <w:szCs w:val="32"/>
          <w:rtl/>
          <w:lang w:bidi="ar-DZ"/>
        </w:rPr>
        <w:t>.</w:t>
      </w:r>
      <w:r w:rsidRPr="009B2B68">
        <w:rPr>
          <w:rFonts w:ascii="Traditional Arabic" w:hAnsi="Traditional Arabic" w:cs="Traditional Arabic" w:hint="cs"/>
          <w:sz w:val="28"/>
          <w:szCs w:val="28"/>
          <w:rtl/>
          <w:lang w:bidi="ar-DZ"/>
        </w:rPr>
        <w:t xml:space="preserve"> </w:t>
      </w:r>
    </w:p>
    <w:p w:rsidR="00D0319B" w:rsidRDefault="00D0319B" w:rsidP="003C134D">
      <w:pPr>
        <w:tabs>
          <w:tab w:val="left" w:pos="1194"/>
        </w:tabs>
        <w:bidi/>
        <w:rPr>
          <w:rFonts w:ascii="Traditional Arabic" w:hAnsi="Traditional Arabic" w:cs="Traditional Arabic"/>
          <w:sz w:val="32"/>
          <w:szCs w:val="32"/>
          <w:lang w:bidi="ar-DZ"/>
        </w:rPr>
        <w:sectPr w:rsidR="00D0319B" w:rsidSect="00EC74F4">
          <w:headerReference w:type="default" r:id="rId24"/>
          <w:footerReference w:type="default" r:id="rId25"/>
          <w:pgSz w:w="11906" w:h="16838"/>
          <w:pgMar w:top="1418" w:right="1418" w:bottom="1418" w:left="1418" w:header="709" w:footer="709" w:gutter="0"/>
          <w:cols w:space="708"/>
          <w:docGrid w:linePitch="360"/>
        </w:sectPr>
      </w:pPr>
    </w:p>
    <w:p w:rsidR="00B35CF7" w:rsidRPr="008C5A60" w:rsidRDefault="00B35CF7" w:rsidP="008C5A60">
      <w:pPr>
        <w:tabs>
          <w:tab w:val="right" w:pos="567"/>
          <w:tab w:val="left" w:pos="8505"/>
        </w:tabs>
        <w:spacing w:after="240" w:line="240" w:lineRule="auto"/>
        <w:rPr>
          <w:rFonts w:asciiTheme="majorBidi" w:hAnsiTheme="majorBidi" w:cstheme="majorBidi"/>
          <w:sz w:val="24"/>
          <w:szCs w:val="24"/>
          <w:lang w:bidi="ar-DZ"/>
        </w:rPr>
      </w:pPr>
    </w:p>
    <w:sectPr w:rsidR="00B35CF7" w:rsidRPr="008C5A60" w:rsidSect="00CD2B75">
      <w:headerReference w:type="default" r:id="rId26"/>
      <w:footerReference w:type="default" r:id="rId27"/>
      <w:pgSz w:w="11906" w:h="16838"/>
      <w:pgMar w:top="1418" w:right="1418" w:bottom="1418" w:left="1418" w:header="709" w:footer="709" w:gutter="0"/>
      <w:pgNumType w:fmt="upperRoman"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0A2" w:rsidRDefault="009940A2" w:rsidP="00744022">
      <w:pPr>
        <w:spacing w:after="0" w:line="240" w:lineRule="auto"/>
      </w:pPr>
      <w:r>
        <w:separator/>
      </w:r>
    </w:p>
  </w:endnote>
  <w:endnote w:type="continuationSeparator" w:id="1">
    <w:p w:rsidR="009940A2" w:rsidRDefault="009940A2" w:rsidP="007440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raditional Arabic">
    <w:panose1 w:val="02010000000000000000"/>
    <w:charset w:val="00"/>
    <w:family w:val="auto"/>
    <w:pitch w:val="variable"/>
    <w:sig w:usb0="00002003" w:usb1="80000000" w:usb2="00000008" w:usb3="00000000" w:csb0="00000041" w:csb1="00000000"/>
  </w:font>
  <w:font w:name="Simplified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205648" w:rsidP="00B418CE">
    <w:pPr>
      <w:pStyle w:val="Pieddepage"/>
      <w:jc w:val="center"/>
    </w:pPr>
  </w:p>
  <w:p w:rsidR="00205648" w:rsidRDefault="00205648">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2461"/>
      <w:docPartObj>
        <w:docPartGallery w:val="Page Numbers (Bottom of Page)"/>
        <w:docPartUnique/>
      </w:docPartObj>
    </w:sdtPr>
    <w:sdtContent>
      <w:p w:rsidR="00205648" w:rsidRDefault="00745183">
        <w:pPr>
          <w:pStyle w:val="Pieddepage"/>
          <w:jc w:val="center"/>
        </w:pPr>
        <w:fldSimple w:instr=" PAGE   \* MERGEFORMAT ">
          <w:r w:rsidR="00A1266A">
            <w:rPr>
              <w:noProof/>
            </w:rPr>
            <w:t>204</w:t>
          </w:r>
        </w:fldSimple>
      </w:p>
    </w:sdtContent>
  </w:sdt>
  <w:p w:rsidR="00205648" w:rsidRDefault="00205648">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745183">
    <w:pPr>
      <w:pStyle w:val="Pieddepage"/>
      <w:jc w:val="center"/>
    </w:pPr>
    <w:fldSimple w:instr=" PAGE   \* MERGEFORMAT ">
      <w:r w:rsidR="00DF6AEA">
        <w:rPr>
          <w:noProof/>
        </w:rPr>
        <w:t>256</w:t>
      </w:r>
    </w:fldSimple>
  </w:p>
  <w:p w:rsidR="00205648" w:rsidRDefault="00205648">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745183">
    <w:pPr>
      <w:pStyle w:val="Pieddepage"/>
      <w:jc w:val="center"/>
    </w:pPr>
    <w:fldSimple w:instr=" PAGE   \* MERGEFORMAT ">
      <w:r w:rsidR="00DF6AEA">
        <w:rPr>
          <w:noProof/>
        </w:rPr>
        <w:t>257</w:t>
      </w:r>
    </w:fldSimple>
  </w:p>
  <w:p w:rsidR="00205648" w:rsidRDefault="00205648">
    <w:pPr>
      <w:pStyle w:val="Pieddepag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205648">
    <w:pPr>
      <w:pStyle w:val="Pieddepage"/>
      <w:jc w:val="center"/>
    </w:pPr>
  </w:p>
  <w:p w:rsidR="00205648" w:rsidRDefault="0020564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0A2" w:rsidRDefault="009940A2" w:rsidP="00744022">
      <w:pPr>
        <w:spacing w:after="0" w:line="240" w:lineRule="auto"/>
      </w:pPr>
      <w:r>
        <w:separator/>
      </w:r>
    </w:p>
  </w:footnote>
  <w:footnote w:type="continuationSeparator" w:id="1">
    <w:p w:rsidR="009940A2" w:rsidRDefault="009940A2" w:rsidP="00744022">
      <w:pPr>
        <w:spacing w:after="0" w:line="240" w:lineRule="auto"/>
      </w:pPr>
      <w:r>
        <w:continuationSeparator/>
      </w:r>
    </w:p>
  </w:footnote>
  <w:footnote w:id="2">
    <w:p w:rsidR="00205648" w:rsidRPr="0098227A" w:rsidRDefault="00205648" w:rsidP="00334BB1">
      <w:pPr>
        <w:pStyle w:val="Notedebasdepage"/>
        <w:bidi/>
        <w:jc w:val="both"/>
        <w:rPr>
          <w:rFonts w:ascii="Traditional Arabic" w:hAnsi="Traditional Arabic" w:cs="Traditional Arabic"/>
          <w:sz w:val="24"/>
          <w:szCs w:val="24"/>
          <w:rtl/>
        </w:rPr>
      </w:pPr>
      <w:r w:rsidRPr="000B69C2">
        <w:rPr>
          <w:rStyle w:val="Appelnotedebasdep"/>
          <w:rFonts w:ascii="Traditional Arabic" w:hAnsi="Traditional Arabic" w:cs="Traditional Arabic"/>
          <w:sz w:val="24"/>
          <w:szCs w:val="24"/>
        </w:rPr>
        <w:footnoteRef/>
      </w:r>
      <w:r w:rsidRPr="000B69C2">
        <w:rPr>
          <w:rFonts w:ascii="Traditional Arabic" w:hAnsi="Traditional Arabic" w:cs="Traditional Arabic"/>
          <w:sz w:val="24"/>
          <w:szCs w:val="24"/>
          <w:rtl/>
          <w:lang w:bidi="ar-DZ"/>
        </w:rPr>
        <w:t xml:space="preserve"> </w:t>
      </w:r>
      <w:r w:rsidRPr="000B69C2">
        <w:rPr>
          <w:rFonts w:ascii="Traditional Arabic" w:hAnsi="Traditional Arabic" w:cs="Traditional Arabic"/>
          <w:sz w:val="24"/>
          <w:szCs w:val="24"/>
          <w:rtl/>
        </w:rPr>
        <w:t>أوكيل</w:t>
      </w:r>
      <w:r>
        <w:rPr>
          <w:rFonts w:ascii="Traditional Arabic" w:hAnsi="Traditional Arabic" w:cs="Traditional Arabic"/>
          <w:sz w:val="24"/>
          <w:szCs w:val="24"/>
          <w:rtl/>
        </w:rPr>
        <w:t xml:space="preserve"> نسيمة:</w:t>
      </w:r>
      <w:r>
        <w:rPr>
          <w:rFonts w:ascii="Traditional Arabic" w:hAnsi="Traditional Arabic" w:cs="Traditional Arabic"/>
          <w:sz w:val="24"/>
          <w:szCs w:val="24"/>
        </w:rPr>
        <w:t xml:space="preserve"> </w:t>
      </w:r>
      <w:r>
        <w:rPr>
          <w:rFonts w:ascii="Traditional Arabic" w:hAnsi="Traditional Arabic" w:cs="Traditional Arabic" w:hint="cs"/>
          <w:sz w:val="24"/>
          <w:szCs w:val="24"/>
          <w:rtl/>
        </w:rPr>
        <w:t>مرجع سابق</w:t>
      </w:r>
      <w:r w:rsidRPr="0098227A">
        <w:rPr>
          <w:rFonts w:ascii="Traditional Arabic" w:hAnsi="Traditional Arabic" w:cs="Traditional Arabic"/>
          <w:sz w:val="24"/>
          <w:szCs w:val="24"/>
          <w:rtl/>
          <w:lang w:bidi="ar-DZ"/>
        </w:rPr>
        <w:t xml:space="preserve">، ص </w:t>
      </w:r>
      <w:r w:rsidRPr="00DF4B45">
        <w:rPr>
          <w:rFonts w:ascii="Traditional Arabic" w:hAnsi="Traditional Arabic" w:cs="Traditional Arabic" w:hint="cs"/>
          <w:rtl/>
          <w:lang w:bidi="ar-DZ"/>
        </w:rPr>
        <w:t>315</w:t>
      </w:r>
      <w:r>
        <w:rPr>
          <w:rFonts w:ascii="Traditional Arabic" w:hAnsi="Traditional Arabic" w:cs="Traditional Arabic" w:hint="cs"/>
          <w:sz w:val="24"/>
          <w:szCs w:val="24"/>
          <w:rtl/>
          <w:lang w:bidi="ar-DZ"/>
        </w:rPr>
        <w:t>.</w:t>
      </w:r>
      <w:r>
        <w:rPr>
          <w:rFonts w:ascii="Traditional Arabic" w:hAnsi="Traditional Arabic" w:cs="Traditional Arabic"/>
          <w:sz w:val="24"/>
          <w:szCs w:val="24"/>
          <w:lang w:bidi="ar-DZ"/>
        </w:rPr>
        <w:t xml:space="preserve"> </w:t>
      </w:r>
      <w:r>
        <w:rPr>
          <w:rFonts w:ascii="Traditional Arabic" w:hAnsi="Traditional Arabic" w:cs="Traditional Arabic" w:hint="cs"/>
          <w:sz w:val="24"/>
          <w:szCs w:val="24"/>
          <w:rtl/>
          <w:lang w:bidi="ar-DZ"/>
        </w:rPr>
        <w:t xml:space="preserve"> </w:t>
      </w:r>
    </w:p>
  </w:footnote>
  <w:footnote w:id="3">
    <w:p w:rsidR="00205648" w:rsidRPr="00B90F76" w:rsidRDefault="00205648" w:rsidP="00B71054">
      <w:pPr>
        <w:pStyle w:val="Notedebasdepage"/>
        <w:bidi/>
        <w:jc w:val="both"/>
        <w:rPr>
          <w:rFonts w:ascii="Traditional Arabic" w:hAnsi="Traditional Arabic" w:cs="Traditional Arabic"/>
          <w:sz w:val="24"/>
          <w:szCs w:val="24"/>
          <w:rtl/>
          <w:lang w:bidi="ar-DZ"/>
        </w:rPr>
      </w:pPr>
      <w:r w:rsidRPr="00B90F76">
        <w:rPr>
          <w:rStyle w:val="Appelnotedebasdep"/>
          <w:rFonts w:ascii="Traditional Arabic" w:hAnsi="Traditional Arabic" w:cs="Traditional Arabic"/>
          <w:sz w:val="24"/>
          <w:szCs w:val="24"/>
        </w:rPr>
        <w:footnoteRef/>
      </w:r>
      <w:r w:rsidRPr="00B90F76">
        <w:rPr>
          <w:rFonts w:ascii="Traditional Arabic" w:hAnsi="Traditional Arabic" w:cs="Traditional Arabic"/>
          <w:sz w:val="24"/>
          <w:szCs w:val="24"/>
          <w:rtl/>
        </w:rPr>
        <w:t xml:space="preserve"> عبد الحكيم مصطفى الشرقاوي</w:t>
      </w:r>
      <w:r>
        <w:rPr>
          <w:rFonts w:ascii="Traditional Arabic" w:hAnsi="Traditional Arabic" w:cs="Traditional Arabic" w:hint="cs"/>
          <w:sz w:val="24"/>
          <w:szCs w:val="24"/>
          <w:rtl/>
        </w:rPr>
        <w:t>: مرجع سابق</w:t>
      </w:r>
      <w:r w:rsidRPr="00B90F76">
        <w:rPr>
          <w:rFonts w:ascii="Traditional Arabic" w:hAnsi="Traditional Arabic" w:cs="Traditional Arabic" w:hint="cs"/>
          <w:sz w:val="24"/>
          <w:szCs w:val="24"/>
          <w:rtl/>
        </w:rPr>
        <w:t>،</w:t>
      </w:r>
      <w:r w:rsidRPr="00B90F76">
        <w:rPr>
          <w:rFonts w:ascii="Traditional Arabic" w:hAnsi="Traditional Arabic" w:cs="Traditional Arabic"/>
          <w:sz w:val="24"/>
          <w:szCs w:val="24"/>
          <w:rtl/>
        </w:rPr>
        <w:t xml:space="preserve"> ص </w:t>
      </w:r>
      <w:r w:rsidRPr="00B90F76">
        <w:rPr>
          <w:rFonts w:ascii="Traditional Arabic" w:hAnsi="Traditional Arabic" w:cs="Traditional Arabic" w:hint="cs"/>
          <w:sz w:val="24"/>
          <w:szCs w:val="24"/>
          <w:rtl/>
        </w:rPr>
        <w:t xml:space="preserve">ص </w:t>
      </w:r>
      <w:r w:rsidRPr="00B90F76">
        <w:rPr>
          <w:rFonts w:ascii="Traditional Arabic" w:hAnsi="Traditional Arabic" w:cs="Traditional Arabic" w:hint="cs"/>
          <w:rtl/>
        </w:rPr>
        <w:t>35-38</w:t>
      </w:r>
      <w:r w:rsidRPr="00B90F76">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   </w:t>
      </w:r>
    </w:p>
  </w:footnote>
  <w:footnote w:id="4">
    <w:p w:rsidR="00205648" w:rsidRPr="00C202A9" w:rsidRDefault="00205648" w:rsidP="008E6E80">
      <w:pPr>
        <w:pStyle w:val="Notedebasdepage"/>
        <w:bidi/>
        <w:rPr>
          <w:rFonts w:ascii="Traditional Arabic" w:hAnsi="Traditional Arabic" w:cs="Traditional Arabic"/>
          <w:sz w:val="24"/>
          <w:szCs w:val="24"/>
          <w:rtl/>
          <w:lang w:bidi="ar-DZ"/>
        </w:rPr>
      </w:pPr>
      <w:r w:rsidRPr="00C202A9">
        <w:rPr>
          <w:rStyle w:val="Appelnotedebasdep"/>
          <w:rFonts w:ascii="Traditional Arabic" w:hAnsi="Traditional Arabic" w:cs="Traditional Arabic"/>
          <w:sz w:val="24"/>
          <w:szCs w:val="24"/>
        </w:rPr>
        <w:footnoteRef/>
      </w:r>
      <w:r w:rsidRPr="00C202A9">
        <w:rPr>
          <w:rFonts w:ascii="Traditional Arabic" w:hAnsi="Traditional Arabic" w:cs="Traditional Arabic"/>
          <w:sz w:val="24"/>
          <w:szCs w:val="24"/>
          <w:rtl/>
          <w:lang w:bidi="ar-DZ"/>
        </w:rPr>
        <w:t xml:space="preserve"> محمد صالح الحناوي، جلال إبراهيم العبد:</w:t>
      </w:r>
      <w:r>
        <w:rPr>
          <w:rFonts w:ascii="Traditional Arabic" w:hAnsi="Traditional Arabic" w:cs="Traditional Arabic" w:hint="cs"/>
          <w:sz w:val="24"/>
          <w:szCs w:val="24"/>
          <w:rtl/>
          <w:lang w:bidi="ar-DZ"/>
        </w:rPr>
        <w:t xml:space="preserve"> مرجع سابق، ص ص</w:t>
      </w:r>
      <w:r w:rsidRPr="00C202A9">
        <w:rPr>
          <w:rFonts w:ascii="Traditional Arabic" w:hAnsi="Traditional Arabic" w:cs="Traditional Arabic"/>
          <w:sz w:val="24"/>
          <w:szCs w:val="24"/>
          <w:rtl/>
          <w:lang w:bidi="ar-DZ"/>
        </w:rPr>
        <w:t xml:space="preserve"> </w:t>
      </w:r>
      <w:r w:rsidRPr="00661428">
        <w:rPr>
          <w:rFonts w:ascii="Traditional Arabic" w:hAnsi="Traditional Arabic" w:cs="Traditional Arabic" w:hint="cs"/>
          <w:rtl/>
          <w:lang w:bidi="ar-DZ"/>
        </w:rPr>
        <w:t>315-320</w:t>
      </w:r>
      <w:r>
        <w:rPr>
          <w:rFonts w:ascii="Traditional Arabic" w:hAnsi="Traditional Arabic" w:cs="Traditional Arabic" w:hint="cs"/>
          <w:sz w:val="24"/>
          <w:szCs w:val="24"/>
          <w:rtl/>
          <w:lang w:bidi="ar-DZ"/>
        </w:rPr>
        <w:t>.</w:t>
      </w:r>
      <w:r w:rsidR="00235609">
        <w:rPr>
          <w:rFonts w:ascii="Traditional Arabic" w:hAnsi="Traditional Arabic" w:cs="Traditional Arabic"/>
          <w:sz w:val="24"/>
          <w:szCs w:val="24"/>
          <w:lang w:bidi="ar-DZ"/>
        </w:rPr>
        <w:t xml:space="preserve"> </w:t>
      </w:r>
    </w:p>
  </w:footnote>
  <w:footnote w:id="5">
    <w:p w:rsidR="00205648" w:rsidRPr="0081786A" w:rsidRDefault="00205648" w:rsidP="00814181">
      <w:pPr>
        <w:pStyle w:val="Notedebasdepage"/>
        <w:tabs>
          <w:tab w:val="left" w:pos="2811"/>
        </w:tabs>
        <w:rPr>
          <w:rStyle w:val="Appelnotedebasdep"/>
          <w:rtl/>
        </w:rPr>
      </w:pPr>
      <w:r w:rsidRPr="0081786A">
        <w:rPr>
          <w:rStyle w:val="Appelnotedebasdep"/>
          <w:rFonts w:asciiTheme="majorBidi" w:hAnsiTheme="majorBidi" w:cstheme="majorBidi"/>
        </w:rPr>
        <w:footnoteRef/>
      </w:r>
      <w:r w:rsidRPr="0081786A">
        <w:rPr>
          <w:rFonts w:asciiTheme="majorBidi" w:hAnsiTheme="majorBidi" w:cstheme="majorBidi"/>
        </w:rPr>
        <w:t xml:space="preserve"> Agnès Chevallier : </w:t>
      </w:r>
      <w:r>
        <w:rPr>
          <w:rFonts w:asciiTheme="majorBidi" w:hAnsiTheme="majorBidi" w:cstheme="majorBidi"/>
        </w:rPr>
        <w:t>op.cit,</w:t>
      </w:r>
      <w:r w:rsidRPr="0081786A">
        <w:rPr>
          <w:rFonts w:asciiTheme="majorBidi" w:hAnsiTheme="majorBidi" w:cstheme="majorBidi"/>
        </w:rPr>
        <w:t xml:space="preserve"> p</w:t>
      </w:r>
      <w:r>
        <w:rPr>
          <w:rFonts w:asciiTheme="majorBidi" w:hAnsiTheme="majorBidi" w:cstheme="majorBidi"/>
        </w:rPr>
        <w:t xml:space="preserve">8. </w:t>
      </w:r>
      <w:r w:rsidRPr="0081786A">
        <w:rPr>
          <w:rFonts w:asciiTheme="majorBidi" w:hAnsiTheme="majorBidi" w:cstheme="majorBidi"/>
        </w:rPr>
        <w:tab/>
      </w:r>
    </w:p>
  </w:footnote>
  <w:footnote w:id="6">
    <w:p w:rsidR="00205648" w:rsidRPr="00360395" w:rsidRDefault="00205648" w:rsidP="00B67F48">
      <w:pPr>
        <w:pStyle w:val="Notedebasdepage"/>
        <w:jc w:val="both"/>
        <w:rPr>
          <w:rFonts w:asciiTheme="majorBidi" w:hAnsiTheme="majorBidi" w:cstheme="majorBidi"/>
        </w:rPr>
      </w:pPr>
      <w:r w:rsidRPr="00360395">
        <w:rPr>
          <w:rStyle w:val="Appelnotedebasdep"/>
          <w:rFonts w:asciiTheme="majorBidi" w:hAnsiTheme="majorBidi" w:cstheme="majorBidi"/>
        </w:rPr>
        <w:footnoteRef/>
      </w:r>
      <w:r w:rsidRPr="00360395">
        <w:rPr>
          <w:rFonts w:asciiTheme="majorBidi" w:hAnsiTheme="majorBidi" w:cstheme="majorBidi"/>
          <w:rtl/>
        </w:rPr>
        <w:t xml:space="preserve"> </w:t>
      </w:r>
      <w:r w:rsidRPr="00360395">
        <w:rPr>
          <w:rFonts w:asciiTheme="majorBidi" w:hAnsiTheme="majorBidi" w:cstheme="majorBidi"/>
        </w:rPr>
        <w:t>Jobst Andreas</w:t>
      </w:r>
      <w:r>
        <w:rPr>
          <w:rFonts w:asciiTheme="majorBidi" w:hAnsiTheme="majorBidi" w:cstheme="majorBidi"/>
        </w:rPr>
        <w:t> :</w:t>
      </w:r>
      <w:r w:rsidRPr="00360395">
        <w:rPr>
          <w:rFonts w:asciiTheme="majorBidi" w:hAnsiTheme="majorBidi" w:cstheme="majorBidi"/>
        </w:rPr>
        <w:t xml:space="preserve"> qu'est-ce que la titrisation? Revue finance et développement, </w:t>
      </w:r>
      <w:r w:rsidR="00EA2AA9">
        <w:rPr>
          <w:rFonts w:asciiTheme="majorBidi" w:hAnsiTheme="majorBidi" w:cstheme="majorBidi"/>
        </w:rPr>
        <w:t>vol45, n°3,</w:t>
      </w:r>
      <w:r w:rsidR="00235609">
        <w:rPr>
          <w:rFonts w:asciiTheme="majorBidi" w:hAnsiTheme="majorBidi" w:cstheme="majorBidi" w:hint="cs"/>
          <w:rtl/>
        </w:rPr>
        <w:t xml:space="preserve"> </w:t>
      </w:r>
      <w:r w:rsidR="00235609">
        <w:rPr>
          <w:rFonts w:asciiTheme="majorBidi" w:hAnsiTheme="majorBidi" w:cstheme="majorBidi"/>
        </w:rPr>
        <w:t>FMI,</w:t>
      </w:r>
      <w:r w:rsidR="00EA2AA9">
        <w:rPr>
          <w:rFonts w:asciiTheme="majorBidi" w:hAnsiTheme="majorBidi" w:cstheme="majorBidi"/>
        </w:rPr>
        <w:t xml:space="preserve"> septembre 2008</w:t>
      </w:r>
      <w:r>
        <w:rPr>
          <w:rFonts w:asciiTheme="majorBidi" w:hAnsiTheme="majorBidi" w:cstheme="majorBidi"/>
        </w:rPr>
        <w:t>, pp</w:t>
      </w:r>
      <w:r w:rsidRPr="00360395">
        <w:rPr>
          <w:rFonts w:asciiTheme="majorBidi" w:hAnsiTheme="majorBidi" w:cstheme="majorBidi"/>
        </w:rPr>
        <w:t xml:space="preserve"> 48-49.</w:t>
      </w:r>
      <w:r>
        <w:rPr>
          <w:rFonts w:asciiTheme="majorBidi" w:hAnsiTheme="majorBidi" w:cstheme="majorBidi"/>
        </w:rPr>
        <w:t xml:space="preserve">  </w:t>
      </w:r>
      <w:r w:rsidR="00EA2AA9">
        <w:rPr>
          <w:rFonts w:asciiTheme="majorBidi" w:hAnsiTheme="majorBidi" w:cstheme="majorBidi" w:hint="cs"/>
          <w:rtl/>
        </w:rPr>
        <w:t xml:space="preserve">  </w:t>
      </w:r>
      <w:r w:rsidR="00235609">
        <w:rPr>
          <w:rFonts w:asciiTheme="majorBidi" w:hAnsiTheme="majorBidi" w:cstheme="majorBidi"/>
        </w:rPr>
        <w:t xml:space="preserve"> </w:t>
      </w:r>
    </w:p>
  </w:footnote>
  <w:footnote w:id="7">
    <w:p w:rsidR="00205648" w:rsidRPr="00885733" w:rsidRDefault="00205648" w:rsidP="006857FD">
      <w:pPr>
        <w:pStyle w:val="Notedebasdepage"/>
        <w:jc w:val="both"/>
        <w:rPr>
          <w:rFonts w:asciiTheme="majorBidi" w:hAnsiTheme="majorBidi" w:cstheme="majorBidi"/>
        </w:rPr>
      </w:pPr>
      <w:r w:rsidRPr="00885733">
        <w:rPr>
          <w:rStyle w:val="Appelnotedebasdep"/>
          <w:rFonts w:asciiTheme="majorBidi" w:hAnsiTheme="majorBidi" w:cstheme="majorBidi"/>
        </w:rPr>
        <w:footnoteRef/>
      </w:r>
      <w:r w:rsidRPr="00885733">
        <w:rPr>
          <w:rFonts w:asciiTheme="majorBidi" w:hAnsiTheme="majorBidi" w:cstheme="majorBidi"/>
        </w:rPr>
        <w:t xml:space="preserve"> </w:t>
      </w:r>
      <w:r w:rsidR="006857FD" w:rsidRPr="00885733">
        <w:rPr>
          <w:rFonts w:asciiTheme="majorBidi" w:hAnsiTheme="majorBidi" w:cstheme="majorBidi"/>
        </w:rPr>
        <w:t xml:space="preserve">Isabelle </w:t>
      </w:r>
      <w:r w:rsidRPr="00885733">
        <w:rPr>
          <w:rFonts w:asciiTheme="majorBidi" w:hAnsiTheme="majorBidi" w:cstheme="majorBidi"/>
        </w:rPr>
        <w:t xml:space="preserve">Augé et </w:t>
      </w:r>
      <w:r w:rsidR="006857FD" w:rsidRPr="00885733">
        <w:rPr>
          <w:rFonts w:asciiTheme="majorBidi" w:hAnsiTheme="majorBidi" w:cstheme="majorBidi"/>
        </w:rPr>
        <w:t xml:space="preserve">Nathalie  </w:t>
      </w:r>
      <w:r w:rsidRPr="00885733">
        <w:rPr>
          <w:rFonts w:asciiTheme="majorBidi" w:hAnsiTheme="majorBidi" w:cstheme="majorBidi"/>
        </w:rPr>
        <w:t xml:space="preserve">Boutonnet: crise financière la remise en cause des notations, </w:t>
      </w:r>
      <w:r>
        <w:rPr>
          <w:rFonts w:asciiTheme="majorBidi" w:hAnsiTheme="majorBidi" w:cstheme="majorBidi"/>
        </w:rPr>
        <w:t>R</w:t>
      </w:r>
      <w:r w:rsidRPr="00885733">
        <w:rPr>
          <w:rFonts w:asciiTheme="majorBidi" w:hAnsiTheme="majorBidi" w:cstheme="majorBidi"/>
        </w:rPr>
        <w:t xml:space="preserve">evue </w:t>
      </w:r>
      <w:r>
        <w:rPr>
          <w:rFonts w:asciiTheme="majorBidi" w:hAnsiTheme="majorBidi" w:cstheme="majorBidi"/>
        </w:rPr>
        <w:t>B</w:t>
      </w:r>
      <w:r w:rsidRPr="00885733">
        <w:rPr>
          <w:rFonts w:asciiTheme="majorBidi" w:hAnsiTheme="majorBidi" w:cstheme="majorBidi"/>
        </w:rPr>
        <w:t>anque, n° 702, mai 2008, p84.</w:t>
      </w:r>
    </w:p>
  </w:footnote>
  <w:footnote w:id="8">
    <w:p w:rsidR="00205648" w:rsidRPr="00B231D2" w:rsidRDefault="00205648" w:rsidP="00AD6019">
      <w:pPr>
        <w:pStyle w:val="Notedebasdepage"/>
        <w:bidi/>
        <w:jc w:val="both"/>
        <w:rPr>
          <w:rFonts w:ascii="Traditional Arabic" w:hAnsi="Traditional Arabic" w:cs="Traditional Arabic"/>
          <w:sz w:val="24"/>
          <w:szCs w:val="24"/>
          <w:rtl/>
          <w:lang w:bidi="ar-DZ"/>
        </w:rPr>
      </w:pPr>
      <w:r w:rsidRPr="00B231D2">
        <w:rPr>
          <w:rStyle w:val="Appelnotedebasdep"/>
          <w:rFonts w:ascii="Traditional Arabic" w:hAnsi="Traditional Arabic" w:cs="Traditional Arabic"/>
          <w:sz w:val="24"/>
          <w:szCs w:val="24"/>
        </w:rPr>
        <w:footnoteRef/>
      </w:r>
      <w:r w:rsidRPr="00B231D2">
        <w:rPr>
          <w:rFonts w:ascii="Traditional Arabic" w:hAnsi="Traditional Arabic" w:cs="Traditional Arabic"/>
          <w:sz w:val="24"/>
          <w:szCs w:val="24"/>
          <w:rtl/>
          <w:lang w:val="en-US" w:bidi="ar-DZ"/>
        </w:rPr>
        <w:t xml:space="preserve"> </w:t>
      </w:r>
      <w:r w:rsidRPr="00B231D2">
        <w:rPr>
          <w:rFonts w:ascii="Traditional Arabic" w:hAnsi="Traditional Arabic" w:cs="Traditional Arabic"/>
          <w:sz w:val="24"/>
          <w:szCs w:val="24"/>
          <w:rtl/>
        </w:rPr>
        <w:t xml:space="preserve">لورا كودرس: </w:t>
      </w:r>
      <w:r w:rsidR="00AD6019">
        <w:rPr>
          <w:rFonts w:ascii="Traditional Arabic" w:hAnsi="Traditional Arabic" w:cs="Traditional Arabic" w:hint="cs"/>
          <w:sz w:val="24"/>
          <w:szCs w:val="24"/>
          <w:rtl/>
          <w:lang w:bidi="ar-DZ"/>
        </w:rPr>
        <w:t>مرجع سابق</w:t>
      </w:r>
      <w:r w:rsidRPr="00B231D2">
        <w:rPr>
          <w:rFonts w:ascii="Traditional Arabic" w:hAnsi="Traditional Arabic" w:cs="Traditional Arabic"/>
          <w:sz w:val="24"/>
          <w:szCs w:val="24"/>
          <w:rtl/>
        </w:rPr>
        <w:t xml:space="preserve">، ص </w:t>
      </w:r>
      <w:r w:rsidRPr="0063358E">
        <w:rPr>
          <w:rFonts w:ascii="Traditional Arabic" w:hAnsi="Traditional Arabic" w:cs="Traditional Arabic"/>
          <w:rtl/>
        </w:rPr>
        <w:t>10</w:t>
      </w:r>
      <w:r w:rsidRPr="00B231D2">
        <w:rPr>
          <w:rFonts w:ascii="Traditional Arabic" w:hAnsi="Traditional Arabic" w:cs="Traditional Arabic"/>
          <w:sz w:val="24"/>
          <w:szCs w:val="24"/>
          <w:rtl/>
        </w:rPr>
        <w:t>.</w:t>
      </w:r>
      <w:r w:rsidRPr="00B231D2">
        <w:rPr>
          <w:rFonts w:ascii="Traditional Arabic" w:hAnsi="Traditional Arabic" w:cs="Traditional Arabic" w:hint="cs"/>
          <w:sz w:val="24"/>
          <w:szCs w:val="24"/>
          <w:rtl/>
        </w:rPr>
        <w:t xml:space="preserve"> </w:t>
      </w:r>
    </w:p>
  </w:footnote>
  <w:footnote w:id="9">
    <w:p w:rsidR="00205648" w:rsidRPr="00885733" w:rsidRDefault="00205648" w:rsidP="00A33C86">
      <w:pPr>
        <w:pStyle w:val="Notedebasdepage"/>
        <w:jc w:val="lowKashida"/>
        <w:rPr>
          <w:rFonts w:asciiTheme="majorBidi" w:hAnsiTheme="majorBidi" w:cstheme="majorBidi"/>
          <w:lang w:val="en-US"/>
        </w:rPr>
      </w:pPr>
      <w:r w:rsidRPr="00885733">
        <w:rPr>
          <w:rStyle w:val="Appelnotedebasdep"/>
          <w:rFonts w:asciiTheme="majorBidi" w:hAnsiTheme="majorBidi" w:cstheme="majorBidi"/>
        </w:rPr>
        <w:footnoteRef/>
      </w:r>
      <w:r w:rsidRPr="00885733">
        <w:rPr>
          <w:rFonts w:asciiTheme="majorBidi" w:hAnsiTheme="majorBidi" w:cstheme="majorBidi"/>
          <w:rtl/>
        </w:rPr>
        <w:t xml:space="preserve"> </w:t>
      </w:r>
      <w:r w:rsidRPr="00885733">
        <w:rPr>
          <w:rFonts w:asciiTheme="majorBidi" w:hAnsiTheme="majorBidi" w:cstheme="majorBidi"/>
          <w:lang w:val="en-US"/>
        </w:rPr>
        <w:t>Jobst Andreas</w:t>
      </w:r>
      <w:r>
        <w:rPr>
          <w:rFonts w:asciiTheme="majorBidi" w:hAnsiTheme="majorBidi" w:cstheme="majorBidi"/>
          <w:lang w:val="en-US"/>
        </w:rPr>
        <w:t>:</w:t>
      </w:r>
      <w:r w:rsidRPr="00885733">
        <w:rPr>
          <w:rFonts w:asciiTheme="majorBidi" w:hAnsiTheme="majorBidi" w:cstheme="majorBidi"/>
          <w:lang w:val="en-US"/>
        </w:rPr>
        <w:t xml:space="preserve"> op</w:t>
      </w:r>
      <w:r>
        <w:rPr>
          <w:rFonts w:asciiTheme="majorBidi" w:hAnsiTheme="majorBidi" w:cstheme="majorBidi"/>
          <w:lang w:val="en-US"/>
        </w:rPr>
        <w:t>.</w:t>
      </w:r>
      <w:r w:rsidRPr="00885733">
        <w:rPr>
          <w:rFonts w:asciiTheme="majorBidi" w:hAnsiTheme="majorBidi" w:cstheme="majorBidi"/>
          <w:lang w:val="en-US"/>
        </w:rPr>
        <w:t>cit, p49.</w:t>
      </w:r>
      <w:r>
        <w:rPr>
          <w:rFonts w:asciiTheme="majorBidi" w:hAnsiTheme="majorBidi" w:cstheme="majorBidi"/>
          <w:lang w:val="en-US"/>
        </w:rPr>
        <w:t xml:space="preserve"> </w:t>
      </w:r>
    </w:p>
  </w:footnote>
  <w:footnote w:id="10">
    <w:p w:rsidR="00205648" w:rsidRPr="00665669" w:rsidRDefault="00205648" w:rsidP="00EF7BD4">
      <w:pPr>
        <w:pStyle w:val="Notedebasdepage"/>
        <w:bidi/>
        <w:rPr>
          <w:sz w:val="24"/>
          <w:szCs w:val="24"/>
          <w:rtl/>
          <w:lang w:bidi="ar-DZ"/>
        </w:rPr>
      </w:pPr>
      <w:r w:rsidRPr="007051CD">
        <w:rPr>
          <w:rStyle w:val="Appelnotedebasdep"/>
          <w:rFonts w:ascii="Traditional Arabic" w:hAnsi="Traditional Arabic" w:cs="Traditional Arabic"/>
          <w:sz w:val="24"/>
          <w:szCs w:val="24"/>
        </w:rPr>
        <w:footnoteRef/>
      </w:r>
      <w:r w:rsidRPr="007051CD">
        <w:rPr>
          <w:rFonts w:ascii="Traditional Arabic" w:hAnsi="Traditional Arabic" w:cs="Traditional Arabic"/>
          <w:sz w:val="24"/>
          <w:szCs w:val="24"/>
          <w:rtl/>
          <w:lang w:bidi="ar-DZ"/>
        </w:rPr>
        <w:t xml:space="preserve"> </w:t>
      </w:r>
      <w:r w:rsidRPr="007051CD">
        <w:rPr>
          <w:rFonts w:ascii="Traditional Arabic" w:hAnsi="Traditional Arabic" w:cs="Traditional Arabic"/>
          <w:sz w:val="24"/>
          <w:szCs w:val="24"/>
          <w:rtl/>
        </w:rPr>
        <w:t>لورا</w:t>
      </w:r>
      <w:r w:rsidRPr="00665669">
        <w:rPr>
          <w:rFonts w:ascii="Traditional Arabic" w:hAnsi="Traditional Arabic" w:cs="Traditional Arabic"/>
          <w:sz w:val="24"/>
          <w:szCs w:val="24"/>
          <w:rtl/>
        </w:rPr>
        <w:t xml:space="preserve"> كودرس: </w:t>
      </w:r>
      <w:r w:rsidRPr="00665669">
        <w:rPr>
          <w:rFonts w:ascii="Traditional Arabic" w:hAnsi="Traditional Arabic" w:cs="Traditional Arabic" w:hint="cs"/>
          <w:sz w:val="24"/>
          <w:szCs w:val="24"/>
          <w:rtl/>
        </w:rPr>
        <w:t>مرجع سابق</w:t>
      </w:r>
      <w:r w:rsidRPr="00665669">
        <w:rPr>
          <w:rFonts w:ascii="Traditional Arabic" w:hAnsi="Traditional Arabic" w:cs="Traditional Arabic"/>
          <w:sz w:val="24"/>
          <w:szCs w:val="24"/>
          <w:rtl/>
        </w:rPr>
        <w:t>، ص</w:t>
      </w:r>
      <w:r w:rsidRPr="00665669">
        <w:rPr>
          <w:rFonts w:ascii="Traditional Arabic" w:hAnsi="Traditional Arabic" w:cs="Traditional Arabic" w:hint="cs"/>
          <w:sz w:val="24"/>
          <w:szCs w:val="24"/>
          <w:rtl/>
        </w:rPr>
        <w:t xml:space="preserve"> ص</w:t>
      </w:r>
      <w:r w:rsidRPr="00665669">
        <w:rPr>
          <w:rFonts w:ascii="Traditional Arabic" w:hAnsi="Traditional Arabic" w:cs="Traditional Arabic"/>
          <w:sz w:val="24"/>
          <w:szCs w:val="24"/>
          <w:rtl/>
        </w:rPr>
        <w:t xml:space="preserve"> </w:t>
      </w:r>
      <w:r w:rsidRPr="00736B8C">
        <w:rPr>
          <w:rFonts w:ascii="Traditional Arabic" w:hAnsi="Traditional Arabic" w:cs="Traditional Arabic"/>
          <w:rtl/>
        </w:rPr>
        <w:t>10</w:t>
      </w:r>
      <w:r w:rsidRPr="00736B8C">
        <w:rPr>
          <w:rFonts w:ascii="Traditional Arabic" w:hAnsi="Traditional Arabic" w:cs="Traditional Arabic" w:hint="cs"/>
          <w:rtl/>
        </w:rPr>
        <w:t>-11</w:t>
      </w:r>
      <w:r w:rsidRPr="00665669">
        <w:rPr>
          <w:rFonts w:ascii="Traditional Arabic" w:hAnsi="Traditional Arabic" w:cs="Traditional Arabic"/>
          <w:sz w:val="24"/>
          <w:szCs w:val="24"/>
          <w:rtl/>
        </w:rPr>
        <w:t>.</w:t>
      </w:r>
    </w:p>
  </w:footnote>
  <w:footnote w:id="11">
    <w:p w:rsidR="00205648" w:rsidRPr="00AC15AE" w:rsidRDefault="00205648" w:rsidP="00AC15AE">
      <w:pPr>
        <w:pStyle w:val="Notedebasdepage"/>
        <w:bidi/>
        <w:rPr>
          <w:rtl/>
          <w:lang w:bidi="ar-DZ"/>
        </w:rPr>
      </w:pPr>
      <w:r w:rsidRPr="00DE473B">
        <w:rPr>
          <w:rStyle w:val="Appelnotedebasdep"/>
          <w:rFonts w:ascii="Traditional Arabic" w:hAnsi="Traditional Arabic" w:cs="Traditional Arabic"/>
          <w:sz w:val="24"/>
          <w:szCs w:val="24"/>
        </w:rPr>
        <w:footnoteRef/>
      </w:r>
      <w:r w:rsidRPr="00DE473B">
        <w:rPr>
          <w:rFonts w:ascii="Traditional Arabic" w:hAnsi="Traditional Arabic" w:cs="Traditional Arabic"/>
          <w:sz w:val="24"/>
          <w:szCs w:val="24"/>
        </w:rPr>
        <w:t xml:space="preserve"> </w:t>
      </w:r>
      <w:r w:rsidRPr="00DE473B">
        <w:rPr>
          <w:rFonts w:ascii="Traditional Arabic" w:hAnsi="Traditional Arabic" w:cs="Traditional Arabic"/>
          <w:sz w:val="24"/>
          <w:szCs w:val="24"/>
          <w:rtl/>
          <w:lang w:bidi="ar-DZ"/>
        </w:rPr>
        <w:t xml:space="preserve"> صندوق النقد</w:t>
      </w:r>
      <w:r w:rsidRPr="00C84D13">
        <w:rPr>
          <w:rFonts w:ascii="Traditional Arabic" w:hAnsi="Traditional Arabic" w:cs="Traditional Arabic"/>
          <w:sz w:val="24"/>
          <w:szCs w:val="24"/>
          <w:rtl/>
          <w:lang w:bidi="ar-DZ"/>
        </w:rPr>
        <w:t xml:space="preserve"> الدولي: مكافحة الأزمة العالمية، التقرير السنوي </w:t>
      </w:r>
      <w:r w:rsidRPr="00C84D13">
        <w:rPr>
          <w:rFonts w:ascii="Traditional Arabic" w:hAnsi="Traditional Arabic" w:cs="Traditional Arabic"/>
          <w:rtl/>
          <w:lang w:bidi="ar-DZ"/>
        </w:rPr>
        <w:t>2009</w:t>
      </w:r>
      <w:r w:rsidRPr="00C84D13">
        <w:rPr>
          <w:rFonts w:ascii="Traditional Arabic" w:hAnsi="Traditional Arabic" w:cs="Traditional Arabic"/>
          <w:sz w:val="24"/>
          <w:szCs w:val="24"/>
          <w:rtl/>
          <w:lang w:bidi="ar-DZ"/>
        </w:rPr>
        <w:t xml:space="preserve">، ص ص </w:t>
      </w:r>
      <w:r w:rsidRPr="00C84D13">
        <w:rPr>
          <w:rFonts w:ascii="Traditional Arabic" w:hAnsi="Traditional Arabic" w:cs="Traditional Arabic"/>
          <w:rtl/>
          <w:lang w:bidi="ar-DZ"/>
        </w:rPr>
        <w:t>17-</w:t>
      </w:r>
      <w:r>
        <w:rPr>
          <w:rFonts w:ascii="Traditional Arabic" w:hAnsi="Traditional Arabic" w:cs="Traditional Arabic" w:hint="cs"/>
          <w:rtl/>
          <w:lang w:bidi="ar-DZ"/>
        </w:rPr>
        <w:t>18</w:t>
      </w:r>
      <w:r w:rsidRPr="00C84D13">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12">
    <w:p w:rsidR="00205648" w:rsidRPr="00C84D13" w:rsidRDefault="00205648" w:rsidP="008777F5">
      <w:pPr>
        <w:pStyle w:val="Notedebasdepage"/>
        <w:bidi/>
        <w:rPr>
          <w:rFonts w:ascii="Traditional Arabic" w:hAnsi="Traditional Arabic" w:cs="Traditional Arabic"/>
          <w:sz w:val="24"/>
          <w:szCs w:val="24"/>
          <w:rtl/>
          <w:lang w:bidi="ar-DZ"/>
        </w:rPr>
      </w:pPr>
      <w:r w:rsidRPr="00C84D13">
        <w:rPr>
          <w:rStyle w:val="Appelnotedebasdep"/>
          <w:rFonts w:ascii="Traditional Arabic" w:hAnsi="Traditional Arabic" w:cs="Traditional Arabic"/>
          <w:sz w:val="24"/>
          <w:szCs w:val="24"/>
        </w:rPr>
        <w:footnoteRef/>
      </w:r>
      <w:r w:rsidRPr="00C84D13">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نفس المرجع السابق</w:t>
      </w:r>
      <w:r w:rsidRPr="00C84D13">
        <w:rPr>
          <w:rFonts w:ascii="Traditional Arabic" w:hAnsi="Traditional Arabic" w:cs="Traditional Arabic"/>
          <w:sz w:val="24"/>
          <w:szCs w:val="24"/>
          <w:rtl/>
          <w:lang w:bidi="ar-DZ"/>
        </w:rPr>
        <w:t xml:space="preserve">، ص </w:t>
      </w:r>
      <w:r>
        <w:rPr>
          <w:rFonts w:ascii="Traditional Arabic" w:hAnsi="Traditional Arabic" w:cs="Traditional Arabic" w:hint="cs"/>
          <w:rtl/>
          <w:lang w:bidi="ar-DZ"/>
        </w:rPr>
        <w:t>19</w:t>
      </w:r>
      <w:r w:rsidRPr="00C84D13">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r w:rsidRPr="00C84D13">
        <w:rPr>
          <w:rFonts w:ascii="Traditional Arabic" w:hAnsi="Traditional Arabic" w:cs="Traditional Arabic"/>
          <w:sz w:val="24"/>
          <w:szCs w:val="24"/>
          <w:rtl/>
          <w:lang w:bidi="ar-DZ"/>
        </w:rPr>
        <w:t xml:space="preserve">  </w:t>
      </w:r>
    </w:p>
  </w:footnote>
  <w:footnote w:id="13">
    <w:p w:rsidR="00205648" w:rsidRPr="00C84D13" w:rsidRDefault="00205648" w:rsidP="00C72F24">
      <w:pPr>
        <w:pStyle w:val="Notedebasdepage"/>
        <w:bidi/>
        <w:rPr>
          <w:rFonts w:ascii="Traditional Arabic" w:hAnsi="Traditional Arabic" w:cs="Traditional Arabic"/>
          <w:sz w:val="24"/>
          <w:szCs w:val="24"/>
          <w:rtl/>
          <w:lang w:bidi="ar-DZ"/>
        </w:rPr>
      </w:pPr>
      <w:r w:rsidRPr="00C84D13">
        <w:rPr>
          <w:rStyle w:val="Appelnotedebasdep"/>
          <w:rFonts w:ascii="Traditional Arabic" w:hAnsi="Traditional Arabic" w:cs="Traditional Arabic"/>
          <w:sz w:val="24"/>
          <w:szCs w:val="24"/>
        </w:rPr>
        <w:footnoteRef/>
      </w:r>
      <w:r w:rsidRPr="00C84D13">
        <w:rPr>
          <w:rFonts w:ascii="Traditional Arabic" w:hAnsi="Traditional Arabic" w:cs="Traditional Arabic"/>
          <w:sz w:val="24"/>
          <w:szCs w:val="24"/>
          <w:rtl/>
          <w:lang w:bidi="ar-DZ"/>
        </w:rPr>
        <w:t xml:space="preserve"> مارتن شيهاك وسروبونا متيرا: أوروبا تفقد هالتها، مجلة التمويل والتنمية،</w:t>
      </w:r>
      <w:r w:rsidR="00C72F24">
        <w:rPr>
          <w:rFonts w:ascii="Traditional Arabic" w:hAnsi="Traditional Arabic" w:cs="Traditional Arabic" w:hint="cs"/>
          <w:sz w:val="24"/>
          <w:szCs w:val="24"/>
          <w:rtl/>
          <w:lang w:bidi="ar-DZ"/>
        </w:rPr>
        <w:t xml:space="preserve"> المجلد </w:t>
      </w:r>
      <w:r w:rsidR="00C72F24" w:rsidRPr="00C72F24">
        <w:rPr>
          <w:rFonts w:ascii="Traditional Arabic" w:hAnsi="Traditional Arabic" w:cs="Traditional Arabic" w:hint="cs"/>
          <w:rtl/>
          <w:lang w:bidi="ar-DZ"/>
        </w:rPr>
        <w:t>46</w:t>
      </w:r>
      <w:r w:rsidR="00C72F24">
        <w:rPr>
          <w:rFonts w:ascii="Traditional Arabic" w:hAnsi="Traditional Arabic" w:cs="Traditional Arabic" w:hint="cs"/>
          <w:sz w:val="24"/>
          <w:szCs w:val="24"/>
          <w:rtl/>
          <w:lang w:bidi="ar-DZ"/>
        </w:rPr>
        <w:t xml:space="preserve">، العدد </w:t>
      </w:r>
      <w:r w:rsidR="00C72F24" w:rsidRPr="00C72F24">
        <w:rPr>
          <w:rFonts w:ascii="Traditional Arabic" w:hAnsi="Traditional Arabic" w:cs="Traditional Arabic" w:hint="cs"/>
          <w:rtl/>
          <w:lang w:bidi="ar-DZ"/>
        </w:rPr>
        <w:t>2</w:t>
      </w:r>
      <w:r w:rsidR="00C72F24">
        <w:rPr>
          <w:rFonts w:ascii="Traditional Arabic" w:hAnsi="Traditional Arabic" w:cs="Traditional Arabic" w:hint="cs"/>
          <w:sz w:val="24"/>
          <w:szCs w:val="24"/>
          <w:rtl/>
          <w:lang w:bidi="ar-DZ"/>
        </w:rPr>
        <w:t>،</w:t>
      </w:r>
      <w:r w:rsidRPr="00C84D13">
        <w:rPr>
          <w:rFonts w:ascii="Traditional Arabic" w:hAnsi="Traditional Arabic" w:cs="Traditional Arabic"/>
          <w:sz w:val="24"/>
          <w:szCs w:val="24"/>
          <w:rtl/>
          <w:lang w:bidi="ar-DZ"/>
        </w:rPr>
        <w:t xml:space="preserve"> صندوق النقد الدولي، </w:t>
      </w:r>
      <w:r>
        <w:rPr>
          <w:rFonts w:ascii="Traditional Arabic" w:hAnsi="Traditional Arabic" w:cs="Traditional Arabic" w:hint="cs"/>
          <w:sz w:val="24"/>
          <w:szCs w:val="24"/>
          <w:rtl/>
          <w:lang w:bidi="ar-DZ"/>
        </w:rPr>
        <w:t>جوان</w:t>
      </w:r>
      <w:r w:rsidRPr="00C84D13">
        <w:rPr>
          <w:rFonts w:ascii="Traditional Arabic" w:hAnsi="Traditional Arabic" w:cs="Traditional Arabic"/>
          <w:sz w:val="24"/>
          <w:szCs w:val="24"/>
          <w:rtl/>
          <w:lang w:bidi="ar-DZ"/>
        </w:rPr>
        <w:t xml:space="preserve"> </w:t>
      </w:r>
      <w:r w:rsidRPr="00C84D13">
        <w:rPr>
          <w:rFonts w:ascii="Traditional Arabic" w:hAnsi="Traditional Arabic" w:cs="Traditional Arabic"/>
          <w:rtl/>
          <w:lang w:bidi="ar-DZ"/>
        </w:rPr>
        <w:t>2009</w:t>
      </w:r>
      <w:r w:rsidRPr="00C84D13">
        <w:rPr>
          <w:rFonts w:ascii="Traditional Arabic" w:hAnsi="Traditional Arabic" w:cs="Traditional Arabic"/>
          <w:sz w:val="24"/>
          <w:szCs w:val="24"/>
          <w:rtl/>
          <w:lang w:bidi="ar-DZ"/>
        </w:rPr>
        <w:t xml:space="preserve">، ص </w:t>
      </w:r>
      <w:r w:rsidRPr="00C84D13">
        <w:rPr>
          <w:rFonts w:ascii="Traditional Arabic" w:hAnsi="Traditional Arabic" w:cs="Traditional Arabic"/>
          <w:rtl/>
          <w:lang w:bidi="ar-DZ"/>
        </w:rPr>
        <w:t>12</w:t>
      </w:r>
      <w:r w:rsidRPr="00C84D13">
        <w:rPr>
          <w:rFonts w:ascii="Traditional Arabic" w:hAnsi="Traditional Arabic" w:cs="Traditional Arabic"/>
          <w:sz w:val="24"/>
          <w:szCs w:val="24"/>
          <w:rtl/>
          <w:lang w:bidi="ar-DZ"/>
        </w:rPr>
        <w:t>.</w:t>
      </w:r>
    </w:p>
  </w:footnote>
  <w:footnote w:id="14">
    <w:p w:rsidR="00205648" w:rsidRPr="00C9000E" w:rsidRDefault="00205648" w:rsidP="00CF4CFE">
      <w:pPr>
        <w:pStyle w:val="Notedebasdepage"/>
        <w:bidi/>
        <w:rPr>
          <w:rtl/>
          <w:lang w:bidi="ar-DZ"/>
        </w:rPr>
      </w:pPr>
      <w:r w:rsidRPr="00A034B5">
        <w:rPr>
          <w:rStyle w:val="Appelnotedebasdep"/>
          <w:rFonts w:ascii="Traditional Arabic" w:hAnsi="Traditional Arabic" w:cs="Traditional Arabic"/>
          <w:sz w:val="24"/>
          <w:szCs w:val="24"/>
        </w:rPr>
        <w:footnoteRef/>
      </w:r>
      <w:r w:rsidRPr="00A034B5">
        <w:rPr>
          <w:rFonts w:ascii="Traditional Arabic" w:hAnsi="Traditional Arabic" w:cs="Traditional Arabic"/>
          <w:sz w:val="24"/>
          <w:szCs w:val="24"/>
          <w:rtl/>
          <w:lang w:bidi="ar-DZ"/>
        </w:rPr>
        <w:t xml:space="preserve"> صندوق النقد</w:t>
      </w:r>
      <w:r w:rsidRPr="00C84D13">
        <w:rPr>
          <w:rFonts w:ascii="Traditional Arabic" w:hAnsi="Traditional Arabic" w:cs="Traditional Arabic"/>
          <w:sz w:val="24"/>
          <w:szCs w:val="24"/>
          <w:rtl/>
          <w:lang w:bidi="ar-DZ"/>
        </w:rPr>
        <w:t xml:space="preserve"> الدولي: مكافحة الأزمة العالمية، </w:t>
      </w:r>
      <w:r>
        <w:rPr>
          <w:rFonts w:ascii="Traditional Arabic" w:hAnsi="Traditional Arabic" w:cs="Traditional Arabic" w:hint="cs"/>
          <w:sz w:val="24"/>
          <w:szCs w:val="24"/>
          <w:rtl/>
          <w:lang w:bidi="ar-DZ"/>
        </w:rPr>
        <w:t>مرجع سابق</w:t>
      </w:r>
      <w:r w:rsidRPr="00C84D13">
        <w:rPr>
          <w:rFonts w:ascii="Traditional Arabic" w:hAnsi="Traditional Arabic" w:cs="Traditional Arabic"/>
          <w:sz w:val="24"/>
          <w:szCs w:val="24"/>
          <w:rtl/>
          <w:lang w:bidi="ar-DZ"/>
        </w:rPr>
        <w:t xml:space="preserve">، ص </w:t>
      </w:r>
      <w:r>
        <w:rPr>
          <w:rFonts w:ascii="Traditional Arabic" w:hAnsi="Traditional Arabic" w:cs="Traditional Arabic" w:hint="cs"/>
          <w:rtl/>
          <w:lang w:bidi="ar-DZ"/>
        </w:rPr>
        <w:t>19</w:t>
      </w:r>
      <w:r w:rsidRPr="00C84D13">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15">
    <w:p w:rsidR="00205648" w:rsidRPr="00844F60" w:rsidRDefault="00205648" w:rsidP="00BB0D37">
      <w:pPr>
        <w:pStyle w:val="Notedebasdepage"/>
        <w:bidi/>
        <w:jc w:val="both"/>
        <w:rPr>
          <w:rFonts w:ascii="Traditional Arabic" w:hAnsi="Traditional Arabic" w:cs="Traditional Arabic"/>
          <w:sz w:val="24"/>
          <w:szCs w:val="24"/>
          <w:rtl/>
          <w:lang w:bidi="ar-DZ"/>
        </w:rPr>
      </w:pPr>
      <w:r w:rsidRPr="00844F60">
        <w:rPr>
          <w:rStyle w:val="Appelnotedebasdep"/>
          <w:rFonts w:ascii="Traditional Arabic" w:hAnsi="Traditional Arabic" w:cs="Traditional Arabic"/>
          <w:sz w:val="24"/>
          <w:szCs w:val="24"/>
        </w:rPr>
        <w:footnoteRef/>
      </w:r>
      <w:r w:rsidRPr="00844F60">
        <w:rPr>
          <w:rFonts w:ascii="Traditional Arabic" w:hAnsi="Traditional Arabic" w:cs="Traditional Arabic"/>
          <w:sz w:val="24"/>
          <w:szCs w:val="24"/>
          <w:rtl/>
          <w:lang w:bidi="ar-DZ"/>
        </w:rPr>
        <w:t xml:space="preserve"> نيكولاس ايزاجويرى، بنديكت كليمنتس، وجورج كاناليس كريلينكو: أمريكا اللاتينية، متى يصبح استخدام الحافز الاقتصادي؟ مجلة التمويل والتنمية،</w:t>
      </w:r>
      <w:r w:rsidR="00BB0D37">
        <w:rPr>
          <w:rFonts w:ascii="Traditional Arabic" w:hAnsi="Traditional Arabic" w:cs="Traditional Arabic" w:hint="cs"/>
          <w:sz w:val="24"/>
          <w:szCs w:val="24"/>
          <w:rtl/>
          <w:lang w:bidi="ar-DZ"/>
        </w:rPr>
        <w:t xml:space="preserve"> المجلد </w:t>
      </w:r>
      <w:r w:rsidR="00BB0D37" w:rsidRPr="00BB0D37">
        <w:rPr>
          <w:rFonts w:ascii="Traditional Arabic" w:hAnsi="Traditional Arabic" w:cs="Traditional Arabic" w:hint="cs"/>
          <w:rtl/>
          <w:lang w:bidi="ar-DZ"/>
        </w:rPr>
        <w:t>46</w:t>
      </w:r>
      <w:r w:rsidR="00BB0D37">
        <w:rPr>
          <w:rFonts w:ascii="Traditional Arabic" w:hAnsi="Traditional Arabic" w:cs="Traditional Arabic" w:hint="cs"/>
          <w:sz w:val="24"/>
          <w:szCs w:val="24"/>
          <w:rtl/>
          <w:lang w:bidi="ar-DZ"/>
        </w:rPr>
        <w:t xml:space="preserve">، العدد </w:t>
      </w:r>
      <w:r w:rsidR="00BB0D37" w:rsidRPr="00BB0D37">
        <w:rPr>
          <w:rFonts w:ascii="Traditional Arabic" w:hAnsi="Traditional Arabic" w:cs="Traditional Arabic" w:hint="cs"/>
          <w:rtl/>
          <w:lang w:bidi="ar-DZ"/>
        </w:rPr>
        <w:t>2</w:t>
      </w:r>
      <w:r w:rsidR="00BB0D37">
        <w:rPr>
          <w:rFonts w:ascii="Traditional Arabic" w:hAnsi="Traditional Arabic" w:cs="Traditional Arabic" w:hint="cs"/>
          <w:sz w:val="24"/>
          <w:szCs w:val="24"/>
          <w:rtl/>
          <w:lang w:bidi="ar-DZ"/>
        </w:rPr>
        <w:t>،</w:t>
      </w:r>
      <w:r w:rsidRPr="00844F60">
        <w:rPr>
          <w:rFonts w:ascii="Traditional Arabic" w:hAnsi="Traditional Arabic" w:cs="Traditional Arabic"/>
          <w:sz w:val="24"/>
          <w:szCs w:val="24"/>
          <w:rtl/>
          <w:lang w:bidi="ar-DZ"/>
        </w:rPr>
        <w:t xml:space="preserve"> صندوق النقد الدولي، </w:t>
      </w:r>
      <w:r>
        <w:rPr>
          <w:rFonts w:ascii="Traditional Arabic" w:hAnsi="Traditional Arabic" w:cs="Traditional Arabic" w:hint="cs"/>
          <w:sz w:val="24"/>
          <w:szCs w:val="24"/>
          <w:rtl/>
          <w:lang w:bidi="ar-DZ"/>
        </w:rPr>
        <w:t>جوان</w:t>
      </w:r>
      <w:r w:rsidRPr="00844F60">
        <w:rPr>
          <w:rFonts w:ascii="Traditional Arabic" w:hAnsi="Traditional Arabic" w:cs="Traditional Arabic"/>
          <w:sz w:val="24"/>
          <w:szCs w:val="24"/>
          <w:rtl/>
          <w:lang w:bidi="ar-DZ"/>
        </w:rPr>
        <w:t xml:space="preserve"> </w:t>
      </w:r>
      <w:r w:rsidRPr="00844F60">
        <w:rPr>
          <w:rFonts w:ascii="Traditional Arabic" w:hAnsi="Traditional Arabic" w:cs="Traditional Arabic"/>
          <w:rtl/>
          <w:lang w:bidi="ar-DZ"/>
        </w:rPr>
        <w:t>2009</w:t>
      </w:r>
      <w:r w:rsidRPr="00844F60">
        <w:rPr>
          <w:rFonts w:ascii="Traditional Arabic" w:hAnsi="Traditional Arabic" w:cs="Traditional Arabic"/>
          <w:sz w:val="24"/>
          <w:szCs w:val="24"/>
          <w:rtl/>
          <w:lang w:bidi="ar-DZ"/>
        </w:rPr>
        <w:t xml:space="preserve">، ص </w:t>
      </w:r>
      <w:r w:rsidRPr="00844F60">
        <w:rPr>
          <w:rFonts w:ascii="Traditional Arabic" w:hAnsi="Traditional Arabic" w:cs="Traditional Arabic"/>
          <w:rtl/>
          <w:lang w:bidi="ar-DZ"/>
        </w:rPr>
        <w:t>48</w:t>
      </w:r>
      <w:r w:rsidRPr="00844F60">
        <w:rPr>
          <w:rFonts w:ascii="Traditional Arabic" w:hAnsi="Traditional Arabic" w:cs="Traditional Arabic"/>
          <w:sz w:val="24"/>
          <w:szCs w:val="24"/>
          <w:rtl/>
          <w:lang w:bidi="ar-DZ"/>
        </w:rPr>
        <w:t xml:space="preserve">. </w:t>
      </w:r>
    </w:p>
  </w:footnote>
  <w:footnote w:id="16">
    <w:p w:rsidR="00205648" w:rsidRDefault="00205648" w:rsidP="00FF6970">
      <w:pPr>
        <w:pStyle w:val="Notedebasdepage"/>
        <w:bidi/>
        <w:jc w:val="both"/>
        <w:rPr>
          <w:rtl/>
          <w:lang w:bidi="ar-DZ"/>
        </w:rPr>
      </w:pPr>
      <w:r w:rsidRPr="009C06DA">
        <w:rPr>
          <w:rStyle w:val="Appelnotedebasdep"/>
          <w:rFonts w:ascii="Traditional Arabic" w:hAnsi="Traditional Arabic" w:cs="Traditional Arabic"/>
          <w:sz w:val="24"/>
          <w:szCs w:val="24"/>
        </w:rPr>
        <w:sym w:font="Symbol" w:char="F02A"/>
      </w:r>
      <w:r w:rsidRPr="009C06DA">
        <w:rPr>
          <w:rFonts w:ascii="Traditional Arabic" w:hAnsi="Traditional Arabic" w:cs="Traditional Arabic"/>
          <w:sz w:val="24"/>
          <w:szCs w:val="24"/>
          <w:rtl/>
          <w:lang w:bidi="ar-DZ"/>
        </w:rPr>
        <w:t xml:space="preserve"> الإيرادات</w:t>
      </w:r>
      <w:r w:rsidRPr="00F55C7A">
        <w:rPr>
          <w:rFonts w:ascii="Traditional Arabic" w:hAnsi="Traditional Arabic" w:cs="Traditional Arabic"/>
          <w:sz w:val="24"/>
          <w:szCs w:val="24"/>
          <w:rtl/>
          <w:lang w:bidi="ar-DZ"/>
        </w:rPr>
        <w:t xml:space="preserve"> و النفقات </w:t>
      </w:r>
      <w:r>
        <w:rPr>
          <w:rFonts w:ascii="Traditional Arabic" w:hAnsi="Traditional Arabic" w:cs="Traditional Arabic" w:hint="cs"/>
          <w:sz w:val="24"/>
          <w:szCs w:val="24"/>
          <w:rtl/>
          <w:lang w:bidi="ar-DZ"/>
        </w:rPr>
        <w:t xml:space="preserve">هي متوسط بسيط للرصيد في الأرجنتين، بوليفيا، البرازيل، شيلي، كولومبيا، كوستاريكا، الإكوادور، السلفادور، جواتيمالا، هندوراس، المكسيك، نيكاراجوا، بنما، باراجواي، بيرو، أوروجواي، فنزويلا. ويمثل الأنفاق الأولي المخصصات الحكومية مخصوما منها نفقات الفوائد.      </w:t>
      </w:r>
    </w:p>
  </w:footnote>
  <w:footnote w:id="17">
    <w:p w:rsidR="00205648" w:rsidRPr="00A85FA0" w:rsidRDefault="00205648" w:rsidP="00CF4CFE">
      <w:pPr>
        <w:pStyle w:val="Notedebasdepage"/>
        <w:bidi/>
        <w:jc w:val="both"/>
        <w:rPr>
          <w:rFonts w:ascii="Traditional Arabic" w:hAnsi="Traditional Arabic" w:cs="Traditional Arabic"/>
          <w:sz w:val="24"/>
          <w:szCs w:val="24"/>
          <w:rtl/>
          <w:lang w:bidi="ar-DZ"/>
        </w:rPr>
      </w:pPr>
      <w:r w:rsidRPr="00A85FA0">
        <w:rPr>
          <w:rStyle w:val="Appelnotedebasdep"/>
          <w:rFonts w:ascii="Traditional Arabic" w:hAnsi="Traditional Arabic" w:cs="Traditional Arabic"/>
          <w:sz w:val="24"/>
          <w:szCs w:val="24"/>
        </w:rPr>
        <w:footnoteRef/>
      </w:r>
      <w:r w:rsidRPr="00A85FA0">
        <w:rPr>
          <w:rFonts w:ascii="Traditional Arabic" w:hAnsi="Traditional Arabic" w:cs="Traditional Arabic"/>
          <w:sz w:val="24"/>
          <w:szCs w:val="24"/>
          <w:rtl/>
          <w:lang w:bidi="ar-DZ"/>
        </w:rPr>
        <w:t xml:space="preserve"> كينيت كانغ وجاك مينيان: آسيا تتعرض لاختبار الاضطرابات المالية العالمية، مجلة التمويل والتنمية،</w:t>
      </w:r>
      <w:r w:rsidR="003D783C">
        <w:rPr>
          <w:rFonts w:ascii="Traditional Arabic" w:hAnsi="Traditional Arabic" w:cs="Traditional Arabic" w:hint="cs"/>
          <w:sz w:val="24"/>
          <w:szCs w:val="24"/>
          <w:rtl/>
          <w:lang w:bidi="ar-DZ"/>
        </w:rPr>
        <w:t xml:space="preserve"> المجلد </w:t>
      </w:r>
      <w:r w:rsidR="003D783C" w:rsidRPr="003D783C">
        <w:rPr>
          <w:rFonts w:ascii="Traditional Arabic" w:hAnsi="Traditional Arabic" w:cs="Traditional Arabic" w:hint="cs"/>
          <w:rtl/>
          <w:lang w:bidi="ar-DZ"/>
        </w:rPr>
        <w:t>45</w:t>
      </w:r>
      <w:r w:rsidR="003D783C">
        <w:rPr>
          <w:rFonts w:ascii="Traditional Arabic" w:hAnsi="Traditional Arabic" w:cs="Traditional Arabic" w:hint="cs"/>
          <w:sz w:val="24"/>
          <w:szCs w:val="24"/>
          <w:rtl/>
          <w:lang w:bidi="ar-DZ"/>
        </w:rPr>
        <w:t xml:space="preserve">، العدد </w:t>
      </w:r>
      <w:r w:rsidR="003D783C" w:rsidRPr="003D783C">
        <w:rPr>
          <w:rFonts w:ascii="Traditional Arabic" w:hAnsi="Traditional Arabic" w:cs="Traditional Arabic" w:hint="cs"/>
          <w:rtl/>
          <w:lang w:bidi="ar-DZ"/>
        </w:rPr>
        <w:t>4</w:t>
      </w:r>
      <w:r w:rsidR="003D783C">
        <w:rPr>
          <w:rFonts w:ascii="Traditional Arabic" w:hAnsi="Traditional Arabic" w:cs="Traditional Arabic" w:hint="cs"/>
          <w:sz w:val="24"/>
          <w:szCs w:val="24"/>
          <w:rtl/>
          <w:lang w:bidi="ar-DZ"/>
        </w:rPr>
        <w:t>،</w:t>
      </w:r>
      <w:r w:rsidRPr="00A85FA0">
        <w:rPr>
          <w:rFonts w:ascii="Traditional Arabic" w:hAnsi="Traditional Arabic" w:cs="Traditional Arabic"/>
          <w:sz w:val="24"/>
          <w:szCs w:val="24"/>
          <w:rtl/>
          <w:lang w:bidi="ar-DZ"/>
        </w:rPr>
        <w:t xml:space="preserve"> صندوق النقد الدولي، ديسمبر </w:t>
      </w:r>
      <w:r w:rsidRPr="00A85FA0">
        <w:rPr>
          <w:rFonts w:ascii="Traditional Arabic" w:hAnsi="Traditional Arabic" w:cs="Traditional Arabic"/>
          <w:rtl/>
          <w:lang w:bidi="ar-DZ"/>
        </w:rPr>
        <w:t>2008</w:t>
      </w:r>
      <w:r w:rsidRPr="00A85FA0">
        <w:rPr>
          <w:rFonts w:ascii="Traditional Arabic" w:hAnsi="Traditional Arabic" w:cs="Traditional Arabic"/>
          <w:sz w:val="24"/>
          <w:szCs w:val="24"/>
          <w:rtl/>
          <w:lang w:bidi="ar-DZ"/>
        </w:rPr>
        <w:t xml:space="preserve">، ص ص </w:t>
      </w:r>
      <w:r w:rsidRPr="00A85FA0">
        <w:rPr>
          <w:rFonts w:ascii="Traditional Arabic" w:hAnsi="Traditional Arabic" w:cs="Traditional Arabic"/>
          <w:rtl/>
          <w:lang w:bidi="ar-DZ"/>
        </w:rPr>
        <w:t>34-35</w:t>
      </w:r>
      <w:r w:rsidRPr="00A85FA0">
        <w:rPr>
          <w:rFonts w:ascii="Traditional Arabic" w:hAnsi="Traditional Arabic" w:cs="Traditional Arabic"/>
          <w:sz w:val="24"/>
          <w:szCs w:val="24"/>
          <w:rtl/>
          <w:lang w:bidi="ar-DZ"/>
        </w:rPr>
        <w:t xml:space="preserve">. </w:t>
      </w:r>
    </w:p>
  </w:footnote>
  <w:footnote w:id="18">
    <w:p w:rsidR="00205648" w:rsidRDefault="00205648" w:rsidP="00CF4CFE">
      <w:pPr>
        <w:pStyle w:val="Notedebasdepage"/>
        <w:bidi/>
        <w:rPr>
          <w:rFonts w:ascii="Traditional Arabic" w:hAnsi="Traditional Arabic" w:cs="Traditional Arabic"/>
          <w:sz w:val="24"/>
          <w:szCs w:val="24"/>
          <w:lang w:bidi="ar-DZ"/>
        </w:rPr>
      </w:pPr>
      <w:r>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صندوق النقد الدولي: مكافحة الأزمة العالمية، مرجع سابق</w:t>
      </w:r>
      <w:r>
        <w:rPr>
          <w:rFonts w:ascii="Traditional Arabic" w:hAnsi="Traditional Arabic" w:cs="Traditional Arabic"/>
          <w:sz w:val="24"/>
          <w:szCs w:val="24"/>
          <w:rtl/>
          <w:lang w:bidi="ar-DZ"/>
        </w:rPr>
        <w:t xml:space="preserve">، ص </w:t>
      </w:r>
      <w:r>
        <w:rPr>
          <w:rFonts w:ascii="Traditional Arabic" w:hAnsi="Traditional Arabic" w:cs="Traditional Arabic"/>
          <w:rtl/>
          <w:lang w:bidi="ar-DZ"/>
        </w:rPr>
        <w:t>20</w:t>
      </w:r>
      <w:r>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 xml:space="preserve">  </w:t>
      </w:r>
    </w:p>
  </w:footnote>
  <w:footnote w:id="19">
    <w:p w:rsidR="00205648" w:rsidRPr="00236C66" w:rsidRDefault="00205648" w:rsidP="00236C66">
      <w:pPr>
        <w:pStyle w:val="Notedebasdepage"/>
        <w:bidi/>
        <w:jc w:val="both"/>
        <w:rPr>
          <w:rFonts w:ascii="Traditional Arabic" w:hAnsi="Traditional Arabic" w:cs="Traditional Arabic"/>
          <w:sz w:val="24"/>
          <w:szCs w:val="24"/>
          <w:rtl/>
          <w:lang w:bidi="ar-DZ"/>
        </w:rPr>
      </w:pPr>
      <w:r w:rsidRPr="00236C66">
        <w:rPr>
          <w:rStyle w:val="Appelnotedebasdep"/>
          <w:rFonts w:ascii="Traditional Arabic" w:hAnsi="Traditional Arabic" w:cs="Traditional Arabic"/>
          <w:sz w:val="24"/>
          <w:szCs w:val="24"/>
        </w:rPr>
        <w:sym w:font="Symbol" w:char="F02A"/>
      </w:r>
      <w:r w:rsidRPr="00236C66">
        <w:rPr>
          <w:rFonts w:ascii="Traditional Arabic" w:hAnsi="Traditional Arabic" w:cs="Traditional Arabic"/>
          <w:sz w:val="24"/>
          <w:szCs w:val="24"/>
          <w:rtl/>
          <w:lang w:bidi="ar-DZ"/>
        </w:rPr>
        <w:t xml:space="preserve"> لا تنطبق مؤشرات الصندوق لأسواق الأوراق المالية العربية الفردية مع المؤشرات الرسمية لأسواق الأوراق المالية المحلية للدول العربية لكون مؤشرات الصندوق عن كل سوق أوراق مالية تحتوي على عينة من شركات السوق المعنية وليس جميع الشركات المدرجة في تلك السوق.</w:t>
      </w:r>
    </w:p>
  </w:footnote>
  <w:footnote w:id="20">
    <w:p w:rsidR="00205648" w:rsidRPr="0079589D" w:rsidRDefault="00205648" w:rsidP="00813086">
      <w:pPr>
        <w:tabs>
          <w:tab w:val="right" w:pos="567"/>
        </w:tabs>
        <w:bidi/>
        <w:spacing w:after="0" w:line="240" w:lineRule="auto"/>
        <w:jc w:val="both"/>
        <w:rPr>
          <w:rFonts w:ascii="Traditional Arabic" w:hAnsi="Traditional Arabic" w:cs="Traditional Arabic"/>
          <w:sz w:val="24"/>
          <w:szCs w:val="24"/>
          <w:rtl/>
          <w:lang w:bidi="ar-DZ"/>
        </w:rPr>
      </w:pPr>
      <w:r w:rsidRPr="00AB5594">
        <w:rPr>
          <w:rStyle w:val="Appelnotedebasdep"/>
          <w:rFonts w:ascii="Traditional Arabic" w:hAnsi="Traditional Arabic" w:cs="Traditional Arabic"/>
          <w:sz w:val="24"/>
          <w:szCs w:val="24"/>
        </w:rPr>
        <w:footnoteRef/>
      </w:r>
      <w:r w:rsidRPr="00AB5594">
        <w:rPr>
          <w:rFonts w:ascii="Traditional Arabic" w:hAnsi="Traditional Arabic" w:cs="Traditional Arabic"/>
          <w:sz w:val="24"/>
          <w:szCs w:val="24"/>
          <w:rtl/>
          <w:lang w:bidi="ar-DZ"/>
        </w:rPr>
        <w:t xml:space="preserve"> صندوق</w:t>
      </w:r>
      <w:r w:rsidRPr="00F336B4">
        <w:rPr>
          <w:rFonts w:ascii="Traditional Arabic" w:hAnsi="Traditional Arabic" w:cs="Traditional Arabic" w:hint="cs"/>
          <w:sz w:val="24"/>
          <w:szCs w:val="24"/>
          <w:rtl/>
          <w:lang w:bidi="ar-DZ"/>
        </w:rPr>
        <w:t xml:space="preserve"> النقد العربي: التطورات النقدية والمصرفية وفي أسواق المال في الدول العربية، </w:t>
      </w:r>
      <w:r>
        <w:rPr>
          <w:rFonts w:ascii="Traditional Arabic" w:hAnsi="Traditional Arabic" w:cs="Traditional Arabic" w:hint="cs"/>
          <w:sz w:val="24"/>
          <w:szCs w:val="24"/>
          <w:rtl/>
          <w:lang w:bidi="ar-DZ"/>
        </w:rPr>
        <w:t xml:space="preserve">مرجع سابق، ص ص </w:t>
      </w:r>
      <w:r w:rsidRPr="0079589D">
        <w:rPr>
          <w:rFonts w:ascii="Traditional Arabic" w:hAnsi="Traditional Arabic" w:cs="Traditional Arabic" w:hint="cs"/>
          <w:sz w:val="20"/>
          <w:szCs w:val="20"/>
          <w:rtl/>
          <w:lang w:bidi="ar-DZ"/>
        </w:rPr>
        <w:t>130-134</w:t>
      </w:r>
      <w:r>
        <w:rPr>
          <w:rFonts w:ascii="Traditional Arabic" w:hAnsi="Traditional Arabic" w:cs="Traditional Arabic" w:hint="cs"/>
          <w:sz w:val="24"/>
          <w:szCs w:val="24"/>
          <w:rtl/>
          <w:lang w:bidi="ar-DZ"/>
        </w:rPr>
        <w:t xml:space="preserve">.  </w:t>
      </w:r>
    </w:p>
  </w:footnote>
  <w:footnote w:id="21">
    <w:p w:rsidR="00205648" w:rsidRPr="002425BF" w:rsidRDefault="00205648" w:rsidP="00F76D33">
      <w:pPr>
        <w:tabs>
          <w:tab w:val="right" w:pos="567"/>
        </w:tabs>
        <w:bidi/>
        <w:spacing w:after="0" w:line="240" w:lineRule="auto"/>
        <w:jc w:val="both"/>
        <w:rPr>
          <w:rFonts w:ascii="Traditional Arabic" w:hAnsi="Traditional Arabic" w:cs="Traditional Arabic"/>
          <w:sz w:val="24"/>
          <w:szCs w:val="24"/>
          <w:rtl/>
          <w:lang w:bidi="ar-DZ"/>
        </w:rPr>
      </w:pPr>
      <w:r w:rsidRPr="002425BF">
        <w:rPr>
          <w:rStyle w:val="Appelnotedebasdep"/>
          <w:rFonts w:ascii="Traditional Arabic" w:hAnsi="Traditional Arabic" w:cs="Traditional Arabic"/>
          <w:sz w:val="24"/>
          <w:szCs w:val="24"/>
        </w:rPr>
        <w:sym w:font="Symbol" w:char="F02A"/>
      </w:r>
      <w:r w:rsidRPr="002425BF">
        <w:rPr>
          <w:rFonts w:ascii="Traditional Arabic" w:hAnsi="Traditional Arabic" w:cs="Traditional Arabic"/>
          <w:sz w:val="24"/>
          <w:szCs w:val="24"/>
          <w:rtl/>
        </w:rPr>
        <w:t xml:space="preserve"> </w:t>
      </w:r>
      <w:r w:rsidRPr="002425BF">
        <w:rPr>
          <w:rFonts w:ascii="Traditional Arabic" w:hAnsi="Traditional Arabic" w:cs="Traditional Arabic"/>
          <w:sz w:val="24"/>
          <w:szCs w:val="24"/>
          <w:rtl/>
          <w:lang w:bidi="ar-DZ"/>
        </w:rPr>
        <w:t xml:space="preserve">- نقيس التغير المطلق في معدل نمو القروض المحسوب على أساس سنوي، وذلك فيما بين فترتين: من ديسمبر </w:t>
      </w:r>
      <w:r w:rsidRPr="002425BF">
        <w:rPr>
          <w:rFonts w:ascii="Traditional Arabic" w:hAnsi="Traditional Arabic" w:cs="Traditional Arabic"/>
          <w:sz w:val="20"/>
          <w:szCs w:val="20"/>
          <w:rtl/>
          <w:lang w:bidi="ar-DZ"/>
        </w:rPr>
        <w:t xml:space="preserve">2004 </w:t>
      </w:r>
      <w:r w:rsidRPr="002425BF">
        <w:rPr>
          <w:rFonts w:ascii="Traditional Arabic" w:hAnsi="Traditional Arabic" w:cs="Traditional Arabic"/>
          <w:sz w:val="24"/>
          <w:szCs w:val="24"/>
          <w:rtl/>
          <w:lang w:bidi="ar-DZ"/>
        </w:rPr>
        <w:t xml:space="preserve">إلى جوان </w:t>
      </w:r>
      <w:r w:rsidRPr="002425BF">
        <w:rPr>
          <w:rFonts w:ascii="Traditional Arabic" w:hAnsi="Traditional Arabic" w:cs="Traditional Arabic"/>
          <w:sz w:val="20"/>
          <w:szCs w:val="20"/>
          <w:rtl/>
          <w:lang w:bidi="ar-DZ"/>
        </w:rPr>
        <w:t xml:space="preserve">2008 </w:t>
      </w:r>
      <w:r w:rsidRPr="002425BF">
        <w:rPr>
          <w:rFonts w:ascii="Traditional Arabic" w:hAnsi="Traditional Arabic" w:cs="Traditional Arabic"/>
          <w:sz w:val="24"/>
          <w:szCs w:val="24"/>
          <w:rtl/>
          <w:lang w:bidi="ar-DZ"/>
        </w:rPr>
        <w:t xml:space="preserve">ومن جوان </w:t>
      </w:r>
      <w:r w:rsidRPr="002425BF">
        <w:rPr>
          <w:rFonts w:ascii="Traditional Arabic" w:hAnsi="Traditional Arabic" w:cs="Traditional Arabic"/>
          <w:sz w:val="20"/>
          <w:szCs w:val="20"/>
          <w:rtl/>
          <w:lang w:bidi="ar-DZ"/>
        </w:rPr>
        <w:t xml:space="preserve">2008 </w:t>
      </w:r>
      <w:r w:rsidRPr="002425BF">
        <w:rPr>
          <w:rFonts w:ascii="Traditional Arabic" w:hAnsi="Traditional Arabic" w:cs="Traditional Arabic"/>
          <w:sz w:val="24"/>
          <w:szCs w:val="24"/>
          <w:rtl/>
          <w:lang w:bidi="ar-DZ"/>
        </w:rPr>
        <w:t xml:space="preserve">إلى </w:t>
      </w:r>
      <w:r>
        <w:rPr>
          <w:rFonts w:ascii="Traditional Arabic" w:hAnsi="Traditional Arabic" w:cs="Traditional Arabic" w:hint="cs"/>
          <w:sz w:val="24"/>
          <w:szCs w:val="24"/>
          <w:rtl/>
          <w:lang w:bidi="ar-DZ"/>
        </w:rPr>
        <w:t>أكتوبر 2009</w:t>
      </w:r>
      <w:r w:rsidRPr="002425BF">
        <w:rPr>
          <w:rFonts w:ascii="Traditional Arabic" w:hAnsi="Traditional Arabic" w:cs="Traditional Arabic"/>
          <w:sz w:val="24"/>
          <w:szCs w:val="24"/>
          <w:rtl/>
          <w:lang w:bidi="ar-DZ"/>
        </w:rPr>
        <w:t xml:space="preserve">.   </w:t>
      </w:r>
    </w:p>
    <w:p w:rsidR="00205648" w:rsidRPr="002425BF" w:rsidRDefault="00205648" w:rsidP="002425BF">
      <w:pPr>
        <w:tabs>
          <w:tab w:val="right" w:pos="567"/>
        </w:tabs>
        <w:bidi/>
        <w:spacing w:after="0" w:line="240" w:lineRule="auto"/>
        <w:jc w:val="both"/>
        <w:rPr>
          <w:rFonts w:ascii="Traditional Arabic" w:hAnsi="Traditional Arabic" w:cs="Traditional Arabic"/>
          <w:sz w:val="24"/>
          <w:szCs w:val="24"/>
          <w:rtl/>
          <w:lang w:bidi="ar-DZ"/>
        </w:rPr>
      </w:pPr>
      <w:r w:rsidRPr="002425BF">
        <w:rPr>
          <w:rFonts w:ascii="Traditional Arabic" w:hAnsi="Traditional Arabic" w:cs="Traditional Arabic"/>
          <w:sz w:val="24"/>
          <w:szCs w:val="24"/>
          <w:rtl/>
          <w:lang w:bidi="ar-DZ"/>
        </w:rPr>
        <w:t xml:space="preserve">- البنود المستخدمة في تقرير الإحصاءات المالية الدولية: صافي التمويل الأجنبي: الخصوم الأجنبية مطروحا منها الأصول الأجنبية، والاحتياطات المصرفية: المطالبات على البنك المركزي، ورؤوس الأموال وغيرها: رأس المال مضافا إليه القيمة المتبقية بعد تحديد جميع المصادر والاستخدامات البديلة الأخرى، وصافي المطالبات على الحكومة: المطالبات على الحكومة والمؤسسات العامة مطروحا منها ودائع الحكومة. </w:t>
      </w:r>
    </w:p>
    <w:p w:rsidR="00205648" w:rsidRPr="002425BF" w:rsidRDefault="00205648" w:rsidP="002425BF">
      <w:pPr>
        <w:tabs>
          <w:tab w:val="right" w:pos="567"/>
        </w:tabs>
        <w:bidi/>
        <w:spacing w:after="0" w:line="240" w:lineRule="auto"/>
        <w:jc w:val="both"/>
        <w:rPr>
          <w:rFonts w:ascii="Traditional Arabic" w:hAnsi="Traditional Arabic" w:cs="Traditional Arabic"/>
          <w:sz w:val="24"/>
          <w:szCs w:val="24"/>
          <w:rtl/>
          <w:lang w:bidi="ar-DZ"/>
        </w:rPr>
      </w:pPr>
      <w:r w:rsidRPr="002425BF">
        <w:rPr>
          <w:rFonts w:ascii="Traditional Arabic" w:hAnsi="Traditional Arabic" w:cs="Traditional Arabic"/>
          <w:sz w:val="24"/>
          <w:szCs w:val="24"/>
          <w:rtl/>
          <w:lang w:bidi="ar-DZ"/>
        </w:rPr>
        <w:t xml:space="preserve">- العلامة + تشير إلى ارتفاع العامل المعني، بينما تشير العلامة – إلى انخفاضه، أما الخانات الفارغة فتعني أن تأثير العامل المعني لا يذكر على نمو الائتمان.   </w:t>
      </w:r>
    </w:p>
  </w:footnote>
  <w:footnote w:id="22">
    <w:p w:rsidR="00205648" w:rsidRDefault="00205648" w:rsidP="00560A38">
      <w:pPr>
        <w:pStyle w:val="Notedebasdepage"/>
        <w:bidi/>
        <w:jc w:val="both"/>
        <w:rPr>
          <w:rtl/>
          <w:lang w:bidi="ar-DZ"/>
        </w:rPr>
      </w:pPr>
      <w:r w:rsidRPr="00256049">
        <w:rPr>
          <w:rStyle w:val="Appelnotedebasdep"/>
          <w:sz w:val="24"/>
          <w:szCs w:val="24"/>
        </w:rPr>
        <w:footnoteRef/>
      </w:r>
      <w:r w:rsidRPr="00256049">
        <w:rPr>
          <w:rFonts w:hint="cs"/>
          <w:sz w:val="24"/>
          <w:szCs w:val="24"/>
          <w:rtl/>
          <w:lang w:bidi="ar-DZ"/>
        </w:rPr>
        <w:t xml:space="preserve"> </w:t>
      </w:r>
      <w:r w:rsidRPr="00256049">
        <w:rPr>
          <w:rFonts w:ascii="Traditional Arabic" w:hAnsi="Traditional Arabic" w:cs="Traditional Arabic" w:hint="cs"/>
          <w:sz w:val="24"/>
          <w:szCs w:val="24"/>
          <w:rtl/>
          <w:lang w:bidi="ar-DZ"/>
        </w:rPr>
        <w:t>صندوق</w:t>
      </w:r>
      <w:r w:rsidRPr="0084158F">
        <w:rPr>
          <w:rFonts w:ascii="Traditional Arabic" w:hAnsi="Traditional Arabic" w:cs="Traditional Arabic" w:hint="cs"/>
          <w:sz w:val="24"/>
          <w:szCs w:val="24"/>
          <w:rtl/>
          <w:lang w:bidi="ar-DZ"/>
        </w:rPr>
        <w:t xml:space="preserve"> النقد الدولي: تصنيف مجموعات البلدان والمناطق، </w:t>
      </w:r>
      <w:r>
        <w:rPr>
          <w:rFonts w:ascii="Traditional Arabic" w:hAnsi="Traditional Arabic" w:cs="Traditional Arabic" w:hint="cs"/>
          <w:sz w:val="24"/>
          <w:szCs w:val="24"/>
          <w:rtl/>
          <w:lang w:bidi="ar-DZ"/>
        </w:rPr>
        <w:t>مرجع سابق</w:t>
      </w:r>
      <w:r w:rsidRPr="0084158F">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ص </w:t>
      </w:r>
      <w:r w:rsidRPr="0084158F">
        <w:rPr>
          <w:rFonts w:ascii="Traditional Arabic" w:hAnsi="Traditional Arabic" w:cs="Traditional Arabic" w:hint="cs"/>
          <w:sz w:val="24"/>
          <w:szCs w:val="24"/>
          <w:rtl/>
          <w:lang w:bidi="ar-DZ"/>
        </w:rPr>
        <w:t xml:space="preserve">ص </w:t>
      </w:r>
      <w:r w:rsidRPr="002969FA">
        <w:rPr>
          <w:rFonts w:ascii="Traditional Arabic" w:hAnsi="Traditional Arabic" w:cs="Traditional Arabic" w:hint="cs"/>
          <w:rtl/>
          <w:lang w:bidi="ar-DZ"/>
        </w:rPr>
        <w:t>05 -10</w:t>
      </w:r>
      <w:r w:rsidRPr="0084158F">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w:t>
      </w:r>
    </w:p>
  </w:footnote>
  <w:footnote w:id="23">
    <w:p w:rsidR="00205648" w:rsidRPr="00702088" w:rsidRDefault="00205648" w:rsidP="00B35B02">
      <w:pPr>
        <w:pStyle w:val="Notedebasdepage"/>
        <w:bidi/>
        <w:jc w:val="both"/>
        <w:rPr>
          <w:rFonts w:ascii="Traditional Arabic" w:hAnsi="Traditional Arabic" w:cs="Traditional Arabic"/>
          <w:sz w:val="24"/>
          <w:szCs w:val="24"/>
          <w:rtl/>
          <w:lang w:bidi="ar-DZ"/>
        </w:rPr>
      </w:pPr>
      <w:r w:rsidRPr="0095326A">
        <w:rPr>
          <w:rStyle w:val="Appelnotedebasdep"/>
          <w:rFonts w:ascii="Traditional Arabic" w:hAnsi="Traditional Arabic" w:cs="Traditional Arabic"/>
          <w:sz w:val="24"/>
          <w:szCs w:val="24"/>
        </w:rPr>
        <w:footnoteRef/>
      </w:r>
      <w:r w:rsidRPr="0095326A">
        <w:rPr>
          <w:rFonts w:ascii="Traditional Arabic" w:hAnsi="Traditional Arabic" w:cs="Traditional Arabic"/>
          <w:sz w:val="24"/>
          <w:szCs w:val="24"/>
          <w:rtl/>
          <w:lang w:bidi="ar-DZ"/>
        </w:rPr>
        <w:t xml:space="preserve"> </w:t>
      </w:r>
      <w:r w:rsidR="00B35B02" w:rsidRPr="0095326A">
        <w:rPr>
          <w:rFonts w:ascii="Traditional Arabic" w:hAnsi="Traditional Arabic" w:cs="Traditional Arabic"/>
          <w:sz w:val="24"/>
          <w:szCs w:val="24"/>
          <w:rtl/>
          <w:lang w:bidi="ar-DZ"/>
        </w:rPr>
        <w:t xml:space="preserve">عبد المجيد </w:t>
      </w:r>
      <w:r w:rsidRPr="0095326A">
        <w:rPr>
          <w:rFonts w:ascii="Traditional Arabic" w:hAnsi="Traditional Arabic" w:cs="Traditional Arabic"/>
          <w:sz w:val="24"/>
          <w:szCs w:val="24"/>
          <w:rtl/>
          <w:lang w:bidi="ar-DZ"/>
        </w:rPr>
        <w:t>قدي</w:t>
      </w:r>
      <w:r>
        <w:rPr>
          <w:rFonts w:ascii="Traditional Arabic" w:hAnsi="Traditional Arabic" w:cs="Traditional Arabic" w:hint="cs"/>
          <w:sz w:val="24"/>
          <w:szCs w:val="24"/>
          <w:rtl/>
          <w:lang w:bidi="ar-DZ"/>
        </w:rPr>
        <w:t>:</w:t>
      </w:r>
      <w:r w:rsidRPr="0095326A">
        <w:rPr>
          <w:rFonts w:ascii="Traditional Arabic" w:hAnsi="Traditional Arabic" w:cs="Traditional Arabic"/>
          <w:sz w:val="24"/>
          <w:szCs w:val="24"/>
          <w:rtl/>
          <w:lang w:bidi="ar-DZ"/>
        </w:rPr>
        <w:t xml:space="preserve"> الصناديق السيادية والأزمة المالية الراهنة،</w:t>
      </w:r>
      <w:r w:rsidRPr="0095326A">
        <w:rPr>
          <w:rFonts w:ascii="Traditional Arabic" w:hAnsi="Traditional Arabic" w:cs="Traditional Arabic" w:hint="cs"/>
          <w:sz w:val="24"/>
          <w:szCs w:val="24"/>
          <w:rtl/>
          <w:lang w:bidi="ar-DZ"/>
        </w:rPr>
        <w:t xml:space="preserve"> ورقة مقدمة في ندوة '' الأزمة المالية العالمية وكيفية علاجها من منظور النظام الاقتصادي الغربي والإسلامي</w:t>
      </w:r>
      <w:r w:rsidR="005E3234">
        <w:rPr>
          <w:rFonts w:ascii="Traditional Arabic" w:hAnsi="Traditional Arabic" w:cs="Traditional Arabic" w:hint="cs"/>
          <w:sz w:val="24"/>
          <w:szCs w:val="24"/>
          <w:rtl/>
          <w:lang w:bidi="ar-DZ"/>
        </w:rPr>
        <w:t>''</w:t>
      </w:r>
      <w:r w:rsidRPr="0095326A">
        <w:rPr>
          <w:rFonts w:ascii="Traditional Arabic" w:hAnsi="Traditional Arabic" w:cs="Traditional Arabic" w:hint="cs"/>
          <w:sz w:val="24"/>
          <w:szCs w:val="24"/>
          <w:rtl/>
          <w:lang w:bidi="ar-DZ"/>
        </w:rPr>
        <w:t xml:space="preserve">، جامعة الجنان، لبنان، </w:t>
      </w:r>
      <w:r w:rsidRPr="0095326A">
        <w:rPr>
          <w:rFonts w:ascii="Traditional Arabic" w:hAnsi="Traditional Arabic" w:cs="Traditional Arabic" w:hint="cs"/>
          <w:rtl/>
          <w:lang w:bidi="ar-DZ"/>
        </w:rPr>
        <w:t xml:space="preserve">13-14 </w:t>
      </w:r>
      <w:r w:rsidRPr="0095326A">
        <w:rPr>
          <w:rFonts w:ascii="Traditional Arabic" w:hAnsi="Traditional Arabic" w:cs="Traditional Arabic" w:hint="cs"/>
          <w:sz w:val="24"/>
          <w:szCs w:val="24"/>
          <w:rtl/>
          <w:lang w:bidi="ar-DZ"/>
        </w:rPr>
        <w:t xml:space="preserve">مارس </w:t>
      </w:r>
      <w:r w:rsidRPr="0095326A">
        <w:rPr>
          <w:rFonts w:ascii="Traditional Arabic" w:hAnsi="Traditional Arabic" w:cs="Traditional Arabic" w:hint="cs"/>
          <w:rtl/>
          <w:lang w:bidi="ar-DZ"/>
        </w:rPr>
        <w:t>2009</w:t>
      </w:r>
      <w:r>
        <w:rPr>
          <w:rFonts w:ascii="Traditional Arabic" w:hAnsi="Traditional Arabic" w:cs="Traditional Arabic" w:hint="cs"/>
          <w:sz w:val="24"/>
          <w:szCs w:val="24"/>
          <w:rtl/>
          <w:lang w:bidi="ar-DZ"/>
        </w:rPr>
        <w:t xml:space="preserve">، ص ص </w:t>
      </w:r>
      <w:r w:rsidRPr="007C0064">
        <w:rPr>
          <w:rFonts w:ascii="Traditional Arabic" w:hAnsi="Traditional Arabic" w:cs="Traditional Arabic" w:hint="cs"/>
          <w:rtl/>
          <w:lang w:bidi="ar-DZ"/>
        </w:rPr>
        <w:t>1-3</w:t>
      </w:r>
      <w:r>
        <w:rPr>
          <w:rFonts w:ascii="Traditional Arabic" w:hAnsi="Traditional Arabic" w:cs="Traditional Arabic" w:hint="cs"/>
          <w:sz w:val="24"/>
          <w:szCs w:val="24"/>
          <w:rtl/>
          <w:lang w:bidi="ar-DZ"/>
        </w:rPr>
        <w:t>.</w:t>
      </w:r>
      <w:r w:rsidRPr="0095326A">
        <w:rPr>
          <w:rFonts w:ascii="Traditional Arabic" w:hAnsi="Traditional Arabic" w:cs="Traditional Arabic" w:hint="cs"/>
          <w:sz w:val="24"/>
          <w:szCs w:val="24"/>
          <w:rtl/>
          <w:lang w:bidi="ar-DZ"/>
        </w:rPr>
        <w:t xml:space="preserve">  </w:t>
      </w:r>
    </w:p>
  </w:footnote>
  <w:footnote w:id="24">
    <w:p w:rsidR="00205648" w:rsidRPr="00BB4A0D" w:rsidRDefault="00205648" w:rsidP="00E12A5D">
      <w:pPr>
        <w:pStyle w:val="Notedebasdepage"/>
        <w:bidi/>
        <w:jc w:val="both"/>
        <w:rPr>
          <w:rFonts w:ascii="Traditional Arabic" w:hAnsi="Traditional Arabic" w:cs="Traditional Arabic"/>
          <w:sz w:val="24"/>
          <w:szCs w:val="24"/>
          <w:rtl/>
          <w:lang w:bidi="ar-DZ"/>
        </w:rPr>
      </w:pPr>
      <w:r w:rsidRPr="0095326A">
        <w:rPr>
          <w:rStyle w:val="Appelnotedebasdep"/>
          <w:rFonts w:ascii="Traditional Arabic" w:hAnsi="Traditional Arabic" w:cs="Traditional Arabic"/>
          <w:sz w:val="24"/>
          <w:szCs w:val="24"/>
        </w:rPr>
        <w:footnoteRef/>
      </w:r>
      <w:r w:rsidRPr="0095326A">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نفس المرجع أعلاه، ص </w:t>
      </w:r>
      <w:r w:rsidRPr="0097794E">
        <w:rPr>
          <w:rFonts w:ascii="Traditional Arabic" w:hAnsi="Traditional Arabic" w:cs="Traditional Arabic" w:hint="cs"/>
          <w:rtl/>
          <w:lang w:bidi="ar-DZ"/>
        </w:rPr>
        <w:t>6-8</w:t>
      </w:r>
      <w:r w:rsidRPr="0095326A">
        <w:rPr>
          <w:rFonts w:ascii="Traditional Arabic" w:hAnsi="Traditional Arabic" w:cs="Traditional Arabic"/>
          <w:sz w:val="24"/>
          <w:szCs w:val="24"/>
          <w:rtl/>
          <w:lang w:bidi="ar-DZ"/>
        </w:rPr>
        <w:t>.</w:t>
      </w:r>
      <w:r w:rsidRPr="0095326A">
        <w:rPr>
          <w:rFonts w:ascii="Traditional Arabic" w:hAnsi="Traditional Arabic" w:cs="Traditional Arabic" w:hint="cs"/>
          <w:sz w:val="24"/>
          <w:szCs w:val="24"/>
          <w:rtl/>
          <w:lang w:bidi="ar-DZ"/>
        </w:rPr>
        <w:t xml:space="preserve">   </w:t>
      </w:r>
    </w:p>
  </w:footnote>
  <w:footnote w:id="25">
    <w:p w:rsidR="00205648" w:rsidRPr="0094139C" w:rsidRDefault="00205648" w:rsidP="00094547">
      <w:pPr>
        <w:pStyle w:val="Notedebasdepage"/>
        <w:bidi/>
        <w:jc w:val="both"/>
        <w:rPr>
          <w:rtl/>
          <w:lang w:bidi="ar-DZ"/>
        </w:rPr>
      </w:pPr>
      <w:r w:rsidRPr="00F54268">
        <w:rPr>
          <w:rStyle w:val="Appelnotedebasdep"/>
          <w:rFonts w:ascii="Traditional Arabic" w:hAnsi="Traditional Arabic" w:cs="Traditional Arabic"/>
          <w:sz w:val="24"/>
          <w:szCs w:val="24"/>
        </w:rPr>
        <w:footnoteRef/>
      </w:r>
      <w:r w:rsidRPr="00F54268">
        <w:rPr>
          <w:rFonts w:ascii="Traditional Arabic" w:hAnsi="Traditional Arabic" w:cs="Traditional Arabic"/>
          <w:sz w:val="24"/>
          <w:szCs w:val="24"/>
          <w:rtl/>
          <w:lang w:bidi="ar-DZ"/>
        </w:rPr>
        <w:t xml:space="preserve"> </w:t>
      </w:r>
      <w:r w:rsidRPr="00F54268">
        <w:rPr>
          <w:rFonts w:ascii="Traditional Arabic" w:hAnsi="Traditional Arabic" w:cs="Traditional Arabic"/>
          <w:sz w:val="24"/>
          <w:szCs w:val="24"/>
          <w:rtl/>
        </w:rPr>
        <w:t>تقرير المدير</w:t>
      </w:r>
      <w:r w:rsidRPr="006503E2">
        <w:rPr>
          <w:rFonts w:ascii="Traditional Arabic" w:hAnsi="Traditional Arabic" w:cs="Traditional Arabic"/>
          <w:sz w:val="24"/>
          <w:szCs w:val="24"/>
          <w:rtl/>
        </w:rPr>
        <w:t xml:space="preserve"> العام لمكتب العمل العربي: الأزمة الاقتصادية العالمية وأثرها على أسواق العمل العربية، مؤتمر العمل العربي، الدورة السادسة والثلاثون، عمان، </w:t>
      </w:r>
      <w:r w:rsidRPr="006503E2">
        <w:rPr>
          <w:rFonts w:ascii="Traditional Arabic" w:hAnsi="Traditional Arabic" w:cs="Traditional Arabic"/>
          <w:rtl/>
        </w:rPr>
        <w:t xml:space="preserve">5-12 </w:t>
      </w:r>
      <w:r w:rsidRPr="006503E2">
        <w:rPr>
          <w:rFonts w:ascii="Traditional Arabic" w:hAnsi="Traditional Arabic" w:cs="Traditional Arabic"/>
          <w:sz w:val="24"/>
          <w:szCs w:val="24"/>
          <w:rtl/>
        </w:rPr>
        <w:t xml:space="preserve">أفريل </w:t>
      </w:r>
      <w:r w:rsidRPr="006503E2">
        <w:rPr>
          <w:rFonts w:ascii="Traditional Arabic" w:hAnsi="Traditional Arabic" w:cs="Traditional Arabic"/>
          <w:rtl/>
        </w:rPr>
        <w:t>2009</w:t>
      </w:r>
      <w:r w:rsidRPr="00324E58">
        <w:rPr>
          <w:rFonts w:ascii="Traditional Arabic" w:hAnsi="Traditional Arabic" w:cs="Traditional Arabic" w:hint="cs"/>
          <w:sz w:val="24"/>
          <w:szCs w:val="24"/>
          <w:rtl/>
        </w:rPr>
        <w:t xml:space="preserve">، ص </w:t>
      </w:r>
      <w:r w:rsidRPr="00324E58">
        <w:rPr>
          <w:rFonts w:ascii="Traditional Arabic" w:hAnsi="Traditional Arabic" w:cs="Traditional Arabic" w:hint="cs"/>
          <w:rtl/>
        </w:rPr>
        <w:t>163</w:t>
      </w:r>
      <w:r w:rsidRPr="00324E58">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w:t>
      </w:r>
    </w:p>
  </w:footnote>
  <w:footnote w:id="26">
    <w:p w:rsidR="00205648" w:rsidRPr="0094139C" w:rsidRDefault="00205648" w:rsidP="00094547">
      <w:pPr>
        <w:pStyle w:val="Notedebasdepage"/>
        <w:bidi/>
        <w:jc w:val="both"/>
        <w:rPr>
          <w:rtl/>
          <w:lang w:bidi="ar-DZ"/>
        </w:rPr>
      </w:pPr>
      <w:r w:rsidRPr="00F54268">
        <w:rPr>
          <w:rStyle w:val="Appelnotedebasdep"/>
          <w:rFonts w:ascii="Traditional Arabic" w:hAnsi="Traditional Arabic" w:cs="Traditional Arabic"/>
          <w:sz w:val="24"/>
          <w:szCs w:val="24"/>
        </w:rPr>
        <w:footnoteRef/>
      </w:r>
      <w:r w:rsidRPr="00F54268">
        <w:rPr>
          <w:rFonts w:ascii="Traditional Arabic" w:hAnsi="Traditional Arabic" w:cs="Traditional Arabic"/>
          <w:sz w:val="24"/>
          <w:szCs w:val="24"/>
          <w:rtl/>
          <w:lang w:bidi="ar-DZ"/>
        </w:rPr>
        <w:t xml:space="preserve"> </w:t>
      </w:r>
      <w:r w:rsidRPr="00F54268">
        <w:rPr>
          <w:rFonts w:ascii="Traditional Arabic" w:hAnsi="Traditional Arabic" w:cs="Traditional Arabic"/>
          <w:sz w:val="24"/>
          <w:szCs w:val="24"/>
          <w:rtl/>
        </w:rPr>
        <w:t>صندوق النقد</w:t>
      </w:r>
      <w:r>
        <w:rPr>
          <w:rFonts w:ascii="Traditional Arabic" w:hAnsi="Traditional Arabic" w:cs="Traditional Arabic" w:hint="cs"/>
          <w:sz w:val="24"/>
          <w:szCs w:val="24"/>
          <w:rtl/>
        </w:rPr>
        <w:t xml:space="preserve"> الدولي: آفاق الاقتصاد العالمي، مرجع سابق، ص </w:t>
      </w:r>
      <w:r w:rsidRPr="00D22128">
        <w:rPr>
          <w:rFonts w:ascii="Traditional Arabic" w:hAnsi="Traditional Arabic" w:cs="Traditional Arabic" w:hint="cs"/>
          <w:rtl/>
        </w:rPr>
        <w:t>56</w:t>
      </w:r>
      <w:r>
        <w:rPr>
          <w:rFonts w:ascii="Traditional Arabic" w:hAnsi="Traditional Arabic" w:cs="Traditional Arabic" w:hint="cs"/>
          <w:sz w:val="24"/>
          <w:szCs w:val="24"/>
          <w:rtl/>
        </w:rPr>
        <w:t xml:space="preserve">. </w:t>
      </w:r>
    </w:p>
  </w:footnote>
  <w:footnote w:id="27">
    <w:p w:rsidR="00205648" w:rsidRPr="00E5405A" w:rsidRDefault="00205648" w:rsidP="00E942C2">
      <w:pPr>
        <w:pStyle w:val="Notedebasdepage"/>
        <w:bidi/>
        <w:jc w:val="both"/>
        <w:rPr>
          <w:sz w:val="22"/>
          <w:szCs w:val="22"/>
          <w:rtl/>
          <w:lang w:bidi="ar-DZ"/>
        </w:rPr>
      </w:pPr>
      <w:r w:rsidRPr="00F54268">
        <w:rPr>
          <w:rStyle w:val="Appelnotedebasdep"/>
          <w:rFonts w:ascii="Traditional Arabic" w:hAnsi="Traditional Arabic" w:cs="Traditional Arabic"/>
          <w:sz w:val="24"/>
          <w:szCs w:val="24"/>
        </w:rPr>
        <w:footnoteRef/>
      </w:r>
      <w:r w:rsidRPr="00F54268">
        <w:rPr>
          <w:rFonts w:ascii="Traditional Arabic" w:hAnsi="Traditional Arabic" w:cs="Traditional Arabic"/>
          <w:sz w:val="24"/>
          <w:szCs w:val="24"/>
          <w:rtl/>
          <w:lang w:bidi="ar-DZ"/>
        </w:rPr>
        <w:t xml:space="preserve"> كريستينا</w:t>
      </w:r>
      <w:r w:rsidRPr="00E5405A">
        <w:rPr>
          <w:rFonts w:ascii="Traditional Arabic" w:hAnsi="Traditional Arabic" w:cs="Traditional Arabic" w:hint="cs"/>
          <w:sz w:val="24"/>
          <w:szCs w:val="24"/>
          <w:rtl/>
          <w:lang w:bidi="ar-DZ"/>
        </w:rPr>
        <w:t xml:space="preserve"> برينت، طارق الحق، نورا كمال: آثار الأزمة المالية والاقتصادية على البلدان العربية، أفكار بشأن استجابة سياسات الاستخدام والحماية الاجتماعية، منظمة العمل الدولية، بيروت، </w:t>
      </w:r>
      <w:r w:rsidRPr="00E5405A">
        <w:rPr>
          <w:rFonts w:ascii="Traditional Arabic" w:hAnsi="Traditional Arabic" w:cs="Traditional Arabic" w:hint="cs"/>
          <w:rtl/>
          <w:lang w:bidi="ar-DZ"/>
        </w:rPr>
        <w:t>2009</w:t>
      </w:r>
      <w:r w:rsidRPr="00E5405A">
        <w:rPr>
          <w:rFonts w:ascii="Traditional Arabic" w:hAnsi="Traditional Arabic" w:cs="Traditional Arabic" w:hint="cs"/>
          <w:sz w:val="24"/>
          <w:szCs w:val="24"/>
          <w:rtl/>
          <w:lang w:bidi="ar-DZ"/>
        </w:rPr>
        <w:t xml:space="preserve">، </w:t>
      </w:r>
      <w:r w:rsidRPr="00E5405A">
        <w:rPr>
          <w:rFonts w:ascii="Traditional Arabic" w:hAnsi="Traditional Arabic" w:cs="Traditional Arabic" w:hint="cs"/>
          <w:sz w:val="28"/>
          <w:szCs w:val="28"/>
          <w:rtl/>
          <w:lang w:bidi="ar-DZ"/>
        </w:rPr>
        <w:t xml:space="preserve">ص </w:t>
      </w:r>
      <w:r w:rsidRPr="00E5405A">
        <w:rPr>
          <w:rFonts w:ascii="Traditional Arabic" w:hAnsi="Traditional Arabic" w:cs="Traditional Arabic" w:hint="cs"/>
          <w:rtl/>
          <w:lang w:bidi="ar-DZ"/>
        </w:rPr>
        <w:t>10</w:t>
      </w:r>
      <w:r w:rsidRPr="00E5405A">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w:t>
      </w:r>
      <w:r w:rsidRPr="00E5405A">
        <w:rPr>
          <w:rFonts w:ascii="Traditional Arabic" w:hAnsi="Traditional Arabic" w:cs="Traditional Arabic" w:hint="cs"/>
          <w:sz w:val="24"/>
          <w:szCs w:val="24"/>
          <w:rtl/>
          <w:lang w:bidi="ar-DZ"/>
        </w:rPr>
        <w:t xml:space="preserve">        </w:t>
      </w:r>
    </w:p>
  </w:footnote>
  <w:footnote w:id="28">
    <w:p w:rsidR="00205648" w:rsidRPr="009D26D2" w:rsidRDefault="00205648" w:rsidP="00CB0876">
      <w:pPr>
        <w:pStyle w:val="Notedebasdepage"/>
        <w:tabs>
          <w:tab w:val="right" w:pos="9072"/>
        </w:tabs>
        <w:bidi/>
        <w:rPr>
          <w:rFonts w:ascii="Traditional Arabic" w:hAnsi="Traditional Arabic" w:cs="Traditional Arabic"/>
          <w:lang w:bidi="ar-DZ"/>
        </w:rPr>
      </w:pPr>
      <w:r w:rsidRPr="0041055F">
        <w:rPr>
          <w:rStyle w:val="Appelnotedebasdep"/>
          <w:rFonts w:ascii="Traditional Arabic" w:hAnsi="Traditional Arabic" w:cs="Traditional Arabic"/>
          <w:sz w:val="24"/>
          <w:szCs w:val="24"/>
        </w:rPr>
        <w:footnoteRef/>
      </w:r>
      <w:r w:rsidRPr="0041055F">
        <w:rPr>
          <w:rFonts w:ascii="Traditional Arabic" w:hAnsi="Traditional Arabic" w:cs="Traditional Arabic"/>
          <w:sz w:val="24"/>
          <w:szCs w:val="24"/>
          <w:rtl/>
        </w:rPr>
        <w:t xml:space="preserve"> تقرير</w:t>
      </w:r>
      <w:r w:rsidRPr="009D26D2">
        <w:rPr>
          <w:rFonts w:ascii="Traditional Arabic" w:hAnsi="Traditional Arabic" w:cs="Traditional Arabic"/>
          <w:sz w:val="24"/>
          <w:szCs w:val="24"/>
          <w:rtl/>
        </w:rPr>
        <w:t xml:space="preserve"> المدير العام لمكتب العمل العربي: مرجع سابق، ص</w:t>
      </w:r>
      <w:r w:rsidRPr="009D26D2">
        <w:rPr>
          <w:rFonts w:ascii="Traditional Arabic" w:hAnsi="Traditional Arabic" w:cs="Traditional Arabic"/>
          <w:sz w:val="32"/>
          <w:szCs w:val="32"/>
          <w:rtl/>
        </w:rPr>
        <w:t xml:space="preserve"> </w:t>
      </w:r>
      <w:r w:rsidRPr="009D26D2">
        <w:rPr>
          <w:rFonts w:ascii="Traditional Arabic" w:hAnsi="Traditional Arabic" w:cs="Traditional Arabic"/>
          <w:sz w:val="24"/>
          <w:szCs w:val="24"/>
          <w:rtl/>
        </w:rPr>
        <w:t xml:space="preserve">ص </w:t>
      </w:r>
      <w:r w:rsidRPr="009D26D2">
        <w:rPr>
          <w:rFonts w:ascii="Traditional Arabic" w:hAnsi="Traditional Arabic" w:cs="Traditional Arabic"/>
          <w:rtl/>
        </w:rPr>
        <w:t>164-165</w:t>
      </w:r>
      <w:r w:rsidRPr="009D26D2">
        <w:rPr>
          <w:rFonts w:ascii="Traditional Arabic" w:hAnsi="Traditional Arabic" w:cs="Traditional Arabic"/>
          <w:sz w:val="24"/>
          <w:szCs w:val="24"/>
          <w:rtl/>
          <w:lang w:bidi="ar-DZ"/>
        </w:rPr>
        <w:t>.</w:t>
      </w:r>
      <w:r w:rsidRPr="009D26D2">
        <w:rPr>
          <w:rFonts w:ascii="Traditional Arabic" w:hAnsi="Traditional Arabic" w:cs="Traditional Arabic"/>
          <w:sz w:val="24"/>
          <w:szCs w:val="24"/>
          <w:rtl/>
          <w:lang w:bidi="ar-DZ"/>
        </w:rPr>
        <w:tab/>
      </w:r>
    </w:p>
  </w:footnote>
  <w:footnote w:id="29">
    <w:p w:rsidR="00205648" w:rsidRPr="009D26D2" w:rsidRDefault="00205648" w:rsidP="004305B2">
      <w:pPr>
        <w:pStyle w:val="Titre2"/>
        <w:bidi/>
        <w:spacing w:before="0" w:line="240" w:lineRule="auto"/>
        <w:jc w:val="both"/>
        <w:rPr>
          <w:rFonts w:ascii="Traditional Arabic" w:hAnsi="Traditional Arabic" w:cs="Traditional Arabic"/>
          <w:b w:val="0"/>
          <w:bCs w:val="0"/>
          <w:color w:val="auto"/>
          <w:sz w:val="24"/>
          <w:szCs w:val="24"/>
          <w:rtl/>
        </w:rPr>
      </w:pPr>
      <w:r w:rsidRPr="009D26D2">
        <w:rPr>
          <w:rStyle w:val="Appelnotedebasdep"/>
          <w:rFonts w:ascii="Traditional Arabic" w:hAnsi="Traditional Arabic" w:cs="Traditional Arabic"/>
          <w:b w:val="0"/>
          <w:bCs w:val="0"/>
          <w:color w:val="auto"/>
          <w:sz w:val="24"/>
          <w:szCs w:val="24"/>
        </w:rPr>
        <w:footnoteRef/>
      </w:r>
      <w:r w:rsidRPr="009D26D2">
        <w:rPr>
          <w:rFonts w:ascii="Traditional Arabic" w:hAnsi="Traditional Arabic" w:cs="Traditional Arabic"/>
          <w:b w:val="0"/>
          <w:bCs w:val="0"/>
          <w:color w:val="auto"/>
          <w:sz w:val="24"/>
          <w:szCs w:val="24"/>
          <w:rtl/>
        </w:rPr>
        <w:t xml:space="preserve"> </w:t>
      </w:r>
      <w:r>
        <w:rPr>
          <w:rFonts w:ascii="Traditional Arabic" w:hAnsi="Traditional Arabic" w:cs="Traditional Arabic" w:hint="cs"/>
          <w:b w:val="0"/>
          <w:bCs w:val="0"/>
          <w:color w:val="auto"/>
          <w:sz w:val="24"/>
          <w:szCs w:val="24"/>
          <w:rtl/>
          <w:lang w:bidi="ar-DZ"/>
        </w:rPr>
        <w:t>نفس المرجع أعلاه</w:t>
      </w:r>
      <w:r w:rsidRPr="009D26D2">
        <w:rPr>
          <w:rFonts w:ascii="Traditional Arabic" w:hAnsi="Traditional Arabic" w:cs="Traditional Arabic"/>
          <w:b w:val="0"/>
          <w:bCs w:val="0"/>
          <w:color w:val="auto"/>
          <w:sz w:val="24"/>
          <w:szCs w:val="24"/>
          <w:rtl/>
        </w:rPr>
        <w:t xml:space="preserve">: مرجع سابق، ص </w:t>
      </w:r>
      <w:r w:rsidRPr="009D26D2">
        <w:rPr>
          <w:rFonts w:ascii="Traditional Arabic" w:hAnsi="Traditional Arabic" w:cs="Traditional Arabic"/>
          <w:b w:val="0"/>
          <w:bCs w:val="0"/>
          <w:color w:val="auto"/>
          <w:sz w:val="20"/>
          <w:szCs w:val="20"/>
          <w:rtl/>
        </w:rPr>
        <w:t>177</w:t>
      </w:r>
      <w:r w:rsidRPr="009D26D2">
        <w:rPr>
          <w:rFonts w:ascii="Traditional Arabic" w:hAnsi="Traditional Arabic" w:cs="Traditional Arabic"/>
          <w:b w:val="0"/>
          <w:bCs w:val="0"/>
          <w:color w:val="auto"/>
          <w:sz w:val="24"/>
          <w:szCs w:val="24"/>
          <w:rtl/>
        </w:rPr>
        <w:t xml:space="preserve">.     </w:t>
      </w:r>
    </w:p>
  </w:footnote>
  <w:footnote w:id="30">
    <w:p w:rsidR="00205648" w:rsidRPr="009D26D2" w:rsidRDefault="00205648" w:rsidP="00397FD7">
      <w:pPr>
        <w:pStyle w:val="Notedebasdepage"/>
        <w:bidi/>
        <w:jc w:val="both"/>
        <w:rPr>
          <w:rFonts w:ascii="Traditional Arabic" w:hAnsi="Traditional Arabic" w:cs="Traditional Arabic"/>
          <w:sz w:val="24"/>
          <w:szCs w:val="24"/>
          <w:rtl/>
          <w:lang w:bidi="ar-DZ"/>
        </w:rPr>
      </w:pPr>
      <w:r w:rsidRPr="009D26D2">
        <w:rPr>
          <w:rStyle w:val="Appelnotedebasdep"/>
          <w:rFonts w:ascii="Traditional Arabic" w:hAnsi="Traditional Arabic" w:cs="Traditional Arabic"/>
          <w:sz w:val="24"/>
          <w:szCs w:val="24"/>
        </w:rPr>
        <w:footnoteRef/>
      </w:r>
      <w:r w:rsidRPr="009D26D2">
        <w:rPr>
          <w:rFonts w:ascii="Traditional Arabic" w:hAnsi="Traditional Arabic" w:cs="Traditional Arabic"/>
          <w:sz w:val="24"/>
          <w:szCs w:val="24"/>
          <w:rtl/>
          <w:lang w:bidi="ar-DZ"/>
        </w:rPr>
        <w:t xml:space="preserve"> </w:t>
      </w:r>
      <w:r w:rsidRPr="00096160">
        <w:rPr>
          <w:rFonts w:ascii="Traditional Arabic" w:hAnsi="Traditional Arabic" w:cs="Traditional Arabic"/>
          <w:sz w:val="24"/>
          <w:szCs w:val="24"/>
          <w:rtl/>
          <w:lang w:bidi="ar-DZ"/>
        </w:rPr>
        <w:t>الاقتصاد والأعمال:</w:t>
      </w:r>
      <w:r w:rsidRPr="00096160">
        <w:rPr>
          <w:rFonts w:ascii="Traditional Arabic" w:hAnsi="Traditional Arabic" w:cs="Traditional Arabic" w:hint="cs"/>
          <w:sz w:val="24"/>
          <w:szCs w:val="24"/>
          <w:rtl/>
          <w:lang w:bidi="ar-DZ"/>
        </w:rPr>
        <w:t xml:space="preserve"> الاقتصاد العربي في العاصفة من الإنقاذ إلى مواجهة الركود،</w:t>
      </w:r>
      <w:r>
        <w:rPr>
          <w:rFonts w:ascii="Traditional Arabic" w:hAnsi="Traditional Arabic" w:cs="Traditional Arabic"/>
          <w:sz w:val="24"/>
          <w:szCs w:val="24"/>
          <w:rtl/>
          <w:lang w:bidi="ar-DZ"/>
        </w:rPr>
        <w:t xml:space="preserve"> أ</w:t>
      </w:r>
      <w:r>
        <w:rPr>
          <w:rFonts w:ascii="Traditional Arabic" w:hAnsi="Traditional Arabic" w:cs="Traditional Arabic" w:hint="cs"/>
          <w:sz w:val="24"/>
          <w:szCs w:val="24"/>
          <w:rtl/>
          <w:lang w:bidi="ar-DZ"/>
        </w:rPr>
        <w:t>ف</w:t>
      </w:r>
      <w:r w:rsidRPr="00096160">
        <w:rPr>
          <w:rFonts w:ascii="Traditional Arabic" w:hAnsi="Traditional Arabic" w:cs="Traditional Arabic"/>
          <w:sz w:val="24"/>
          <w:szCs w:val="24"/>
          <w:rtl/>
          <w:lang w:bidi="ar-DZ"/>
        </w:rPr>
        <w:t xml:space="preserve">ريل </w:t>
      </w:r>
      <w:r w:rsidRPr="00096160">
        <w:rPr>
          <w:rFonts w:ascii="Traditional Arabic" w:hAnsi="Traditional Arabic" w:cs="Traditional Arabic"/>
          <w:rtl/>
          <w:lang w:bidi="ar-DZ"/>
        </w:rPr>
        <w:t>2009</w:t>
      </w:r>
      <w:r w:rsidRPr="009D26D2">
        <w:rPr>
          <w:rFonts w:ascii="Traditional Arabic" w:hAnsi="Traditional Arabic" w:cs="Traditional Arabic"/>
          <w:sz w:val="24"/>
          <w:szCs w:val="24"/>
          <w:rtl/>
          <w:lang w:bidi="ar-DZ"/>
        </w:rPr>
        <w:t xml:space="preserve">، ص </w:t>
      </w:r>
      <w:r w:rsidRPr="009D26D2">
        <w:rPr>
          <w:rFonts w:ascii="Traditional Arabic" w:hAnsi="Traditional Arabic" w:cs="Traditional Arabic"/>
          <w:rtl/>
          <w:lang w:bidi="ar-DZ"/>
        </w:rPr>
        <w:t>48</w:t>
      </w:r>
      <w:r w:rsidRPr="009D26D2">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31">
    <w:p w:rsidR="00205648" w:rsidRPr="009D26D2" w:rsidRDefault="00205648" w:rsidP="006D37C2">
      <w:pPr>
        <w:pStyle w:val="Notedebasdepage"/>
        <w:bidi/>
        <w:jc w:val="both"/>
        <w:rPr>
          <w:rFonts w:ascii="Traditional Arabic" w:hAnsi="Traditional Arabic" w:cs="Traditional Arabic"/>
          <w:sz w:val="24"/>
          <w:szCs w:val="24"/>
          <w:rtl/>
          <w:lang w:bidi="ar-DZ"/>
        </w:rPr>
      </w:pPr>
      <w:r w:rsidRPr="009D26D2">
        <w:rPr>
          <w:rStyle w:val="Appelnotedebasdep"/>
          <w:rFonts w:ascii="Traditional Arabic" w:hAnsi="Traditional Arabic" w:cs="Traditional Arabic"/>
          <w:sz w:val="24"/>
          <w:szCs w:val="24"/>
        </w:rPr>
        <w:footnoteRef/>
      </w:r>
      <w:r w:rsidRPr="009D26D2">
        <w:rPr>
          <w:rFonts w:ascii="Traditional Arabic" w:hAnsi="Traditional Arabic" w:cs="Traditional Arabic"/>
          <w:sz w:val="24"/>
          <w:szCs w:val="24"/>
          <w:rtl/>
          <w:lang w:bidi="ar-DZ"/>
        </w:rPr>
        <w:t xml:space="preserve"> صندوق النقد الدولي: تصنيف مجموعات البلدان والمناطق، أكتوبر، </w:t>
      </w:r>
      <w:r w:rsidRPr="009D26D2">
        <w:rPr>
          <w:rFonts w:ascii="Traditional Arabic" w:hAnsi="Traditional Arabic" w:cs="Traditional Arabic"/>
          <w:rtl/>
          <w:lang w:bidi="ar-DZ"/>
        </w:rPr>
        <w:t>2009</w:t>
      </w:r>
      <w:r w:rsidRPr="009D26D2">
        <w:rPr>
          <w:rFonts w:ascii="Traditional Arabic" w:hAnsi="Traditional Arabic" w:cs="Traditional Arabic"/>
          <w:sz w:val="24"/>
          <w:szCs w:val="24"/>
          <w:rtl/>
          <w:lang w:bidi="ar-DZ"/>
        </w:rPr>
        <w:t>، ص</w:t>
      </w:r>
      <w:r w:rsidRPr="009D26D2">
        <w:rPr>
          <w:rFonts w:ascii="Traditional Arabic" w:hAnsi="Traditional Arabic" w:cs="Traditional Arabic"/>
          <w:rtl/>
          <w:lang w:bidi="ar-DZ"/>
        </w:rPr>
        <w:t>20</w:t>
      </w:r>
      <w:r w:rsidRPr="009D26D2">
        <w:rPr>
          <w:rFonts w:ascii="Traditional Arabic" w:hAnsi="Traditional Arabic" w:cs="Traditional Arabic"/>
          <w:sz w:val="24"/>
          <w:szCs w:val="24"/>
          <w:rtl/>
          <w:lang w:bidi="ar-DZ"/>
        </w:rPr>
        <w:t xml:space="preserve">.   </w:t>
      </w:r>
    </w:p>
  </w:footnote>
  <w:footnote w:id="32">
    <w:p w:rsidR="00205648" w:rsidRPr="00096160" w:rsidRDefault="00205648" w:rsidP="003C695F">
      <w:pPr>
        <w:pStyle w:val="Notedebasdepage"/>
        <w:bidi/>
        <w:rPr>
          <w:rFonts w:ascii="Traditional Arabic" w:hAnsi="Traditional Arabic" w:cs="Traditional Arabic"/>
          <w:sz w:val="24"/>
          <w:szCs w:val="24"/>
        </w:rPr>
      </w:pPr>
      <w:r w:rsidRPr="00096160">
        <w:rPr>
          <w:rStyle w:val="Appelnotedebasdep"/>
          <w:rFonts w:ascii="Traditional Arabic" w:hAnsi="Traditional Arabic" w:cs="Traditional Arabic"/>
          <w:sz w:val="24"/>
          <w:szCs w:val="24"/>
        </w:rPr>
        <w:footnoteRef/>
      </w:r>
      <w:r w:rsidRPr="00096160">
        <w:rPr>
          <w:rFonts w:ascii="Traditional Arabic" w:hAnsi="Traditional Arabic" w:cs="Traditional Arabic"/>
          <w:sz w:val="24"/>
          <w:szCs w:val="24"/>
          <w:rtl/>
        </w:rPr>
        <w:t xml:space="preserve"> </w:t>
      </w:r>
      <w:r w:rsidRPr="00096160">
        <w:rPr>
          <w:rFonts w:ascii="Traditional Arabic" w:hAnsi="Traditional Arabic" w:cs="Traditional Arabic"/>
          <w:sz w:val="24"/>
          <w:szCs w:val="24"/>
          <w:rtl/>
          <w:lang w:bidi="ar-DZ"/>
        </w:rPr>
        <w:t>الاقتصاد والأعمال:</w:t>
      </w:r>
      <w:r w:rsidRPr="00096160">
        <w:rPr>
          <w:rFonts w:ascii="Traditional Arabic" w:hAnsi="Traditional Arabic" w:cs="Traditional Arabic" w:hint="cs"/>
          <w:sz w:val="24"/>
          <w:szCs w:val="24"/>
          <w:rtl/>
          <w:lang w:bidi="ar-DZ"/>
        </w:rPr>
        <w:t xml:space="preserve"> الاقتصاد العربي في العاصفة من الإنقاذ إلى مواجهة الركود،</w:t>
      </w:r>
      <w:r>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مرجع سابق</w:t>
      </w:r>
      <w:r w:rsidRPr="00096160">
        <w:rPr>
          <w:rFonts w:ascii="Traditional Arabic" w:hAnsi="Traditional Arabic" w:cs="Traditional Arabic" w:hint="cs"/>
          <w:sz w:val="24"/>
          <w:szCs w:val="24"/>
          <w:rtl/>
          <w:lang w:bidi="ar-DZ"/>
        </w:rPr>
        <w:t>،</w:t>
      </w:r>
      <w:r w:rsidRPr="00096160">
        <w:rPr>
          <w:rFonts w:ascii="Traditional Arabic" w:hAnsi="Traditional Arabic" w:cs="Traditional Arabic"/>
          <w:sz w:val="24"/>
          <w:szCs w:val="24"/>
          <w:rtl/>
        </w:rPr>
        <w:t xml:space="preserve"> ص </w:t>
      </w:r>
      <w:r w:rsidRPr="00096160">
        <w:rPr>
          <w:rFonts w:ascii="Traditional Arabic" w:hAnsi="Traditional Arabic" w:cs="Traditional Arabic"/>
          <w:rtl/>
        </w:rPr>
        <w:t>48</w:t>
      </w:r>
      <w:r w:rsidRPr="00096160">
        <w:rPr>
          <w:rFonts w:ascii="Traditional Arabic" w:hAnsi="Traditional Arabic" w:cs="Traditional Arabic"/>
          <w:sz w:val="24"/>
          <w:szCs w:val="24"/>
          <w:rtl/>
        </w:rPr>
        <w:t xml:space="preserve">. </w:t>
      </w:r>
      <w:r w:rsidRPr="00096160">
        <w:rPr>
          <w:rFonts w:ascii="Traditional Arabic" w:hAnsi="Traditional Arabic" w:cs="Traditional Arabic" w:hint="cs"/>
          <w:sz w:val="24"/>
          <w:szCs w:val="24"/>
          <w:rtl/>
        </w:rPr>
        <w:t xml:space="preserve">  </w:t>
      </w:r>
    </w:p>
  </w:footnote>
  <w:footnote w:id="33">
    <w:p w:rsidR="00205648" w:rsidRPr="009946B9" w:rsidRDefault="00205648" w:rsidP="009946B9">
      <w:pPr>
        <w:pStyle w:val="Notedebasdepage"/>
        <w:bidi/>
        <w:jc w:val="both"/>
        <w:rPr>
          <w:rFonts w:ascii="Traditional Arabic" w:hAnsi="Traditional Arabic" w:cs="Traditional Arabic"/>
          <w:sz w:val="24"/>
          <w:szCs w:val="24"/>
          <w:rtl/>
          <w:lang w:bidi="ar-DZ"/>
        </w:rPr>
      </w:pPr>
      <w:r w:rsidRPr="009946B9">
        <w:rPr>
          <w:rStyle w:val="Appelnotedebasdep"/>
          <w:rFonts w:ascii="Traditional Arabic" w:hAnsi="Traditional Arabic" w:cs="Traditional Arabic"/>
          <w:sz w:val="24"/>
          <w:szCs w:val="24"/>
        </w:rPr>
        <w:footnoteRef/>
      </w:r>
      <w:r w:rsidRPr="009946B9">
        <w:rPr>
          <w:rFonts w:ascii="Traditional Arabic" w:hAnsi="Traditional Arabic" w:cs="Traditional Arabic"/>
          <w:sz w:val="24"/>
          <w:szCs w:val="24"/>
          <w:rtl/>
        </w:rPr>
        <w:t xml:space="preserve"> تقرير المدير العام لمكتب العمل العربي: </w:t>
      </w:r>
      <w:r w:rsidRPr="009946B9">
        <w:rPr>
          <w:rFonts w:ascii="Traditional Arabic" w:hAnsi="Traditional Arabic" w:cs="Traditional Arabic" w:hint="cs"/>
          <w:sz w:val="24"/>
          <w:szCs w:val="24"/>
          <w:rtl/>
        </w:rPr>
        <w:t>مرجع سابق</w:t>
      </w:r>
      <w:r w:rsidRPr="009946B9">
        <w:rPr>
          <w:rFonts w:ascii="Traditional Arabic" w:hAnsi="Traditional Arabic" w:cs="Traditional Arabic"/>
          <w:sz w:val="24"/>
          <w:szCs w:val="24"/>
          <w:rtl/>
        </w:rPr>
        <w:t>، ص</w:t>
      </w:r>
      <w:r w:rsidRPr="009946B9">
        <w:rPr>
          <w:rFonts w:ascii="Traditional Arabic" w:hAnsi="Traditional Arabic" w:cs="Traditional Arabic" w:hint="cs"/>
          <w:rtl/>
          <w:lang w:bidi="ar-DZ"/>
        </w:rPr>
        <w:t>173</w:t>
      </w:r>
      <w:r w:rsidRPr="009946B9">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p>
  </w:footnote>
  <w:footnote w:id="34">
    <w:p w:rsidR="00205648" w:rsidRPr="00724274" w:rsidRDefault="00205648" w:rsidP="001247A1">
      <w:pPr>
        <w:pStyle w:val="Notedebasdepage"/>
        <w:bidi/>
        <w:jc w:val="both"/>
        <w:rPr>
          <w:rFonts w:ascii="Traditional Arabic" w:hAnsi="Traditional Arabic" w:cs="Traditional Arabic"/>
          <w:sz w:val="24"/>
          <w:szCs w:val="24"/>
          <w:rtl/>
          <w:lang w:bidi="ar-DZ"/>
        </w:rPr>
      </w:pPr>
      <w:r w:rsidRPr="00724274">
        <w:rPr>
          <w:rStyle w:val="Appelnotedebasdep"/>
          <w:rFonts w:ascii="Traditional Arabic" w:hAnsi="Traditional Arabic" w:cs="Traditional Arabic"/>
          <w:sz w:val="24"/>
          <w:szCs w:val="24"/>
        </w:rPr>
        <w:footnoteRef/>
      </w:r>
      <w:r w:rsidRPr="00724274">
        <w:rPr>
          <w:rFonts w:ascii="Traditional Arabic" w:hAnsi="Traditional Arabic" w:cs="Traditional Arabic"/>
          <w:sz w:val="24"/>
          <w:szCs w:val="24"/>
          <w:rtl/>
          <w:lang w:bidi="ar-DZ"/>
        </w:rPr>
        <w:t xml:space="preserve"> كريستينا برينت، طارق الحق، نورا كمال: مرجع سابق، ص </w:t>
      </w:r>
      <w:r w:rsidRPr="00724274">
        <w:rPr>
          <w:rFonts w:ascii="Traditional Arabic" w:hAnsi="Traditional Arabic" w:cs="Traditional Arabic"/>
          <w:rtl/>
          <w:lang w:bidi="ar-DZ"/>
        </w:rPr>
        <w:t>9</w:t>
      </w:r>
      <w:r w:rsidRPr="00724274">
        <w:rPr>
          <w:rFonts w:ascii="Traditional Arabic" w:hAnsi="Traditional Arabic" w:cs="Traditional Arabic"/>
          <w:sz w:val="24"/>
          <w:szCs w:val="24"/>
          <w:rtl/>
          <w:lang w:bidi="ar-DZ"/>
        </w:rPr>
        <w:t xml:space="preserve">.         </w:t>
      </w:r>
    </w:p>
  </w:footnote>
  <w:footnote w:id="35">
    <w:p w:rsidR="00205648" w:rsidRPr="00191675" w:rsidRDefault="00205648" w:rsidP="0089707D">
      <w:pPr>
        <w:pStyle w:val="Notedebasdepage"/>
        <w:bidi/>
        <w:jc w:val="both"/>
        <w:rPr>
          <w:rFonts w:ascii="Traditional Arabic" w:hAnsi="Traditional Arabic" w:cs="Traditional Arabic"/>
          <w:sz w:val="24"/>
          <w:szCs w:val="24"/>
          <w:rtl/>
          <w:lang w:bidi="ar-DZ"/>
        </w:rPr>
      </w:pPr>
      <w:r w:rsidRPr="00191675">
        <w:rPr>
          <w:rStyle w:val="Appelnotedebasdep"/>
          <w:rFonts w:ascii="Traditional Arabic" w:hAnsi="Traditional Arabic" w:cs="Traditional Arabic"/>
          <w:sz w:val="24"/>
          <w:szCs w:val="24"/>
        </w:rPr>
        <w:footnoteRef/>
      </w:r>
      <w:r w:rsidRPr="00191675">
        <w:rPr>
          <w:rFonts w:ascii="Traditional Arabic" w:hAnsi="Traditional Arabic" w:cs="Traditional Arabic"/>
          <w:sz w:val="24"/>
          <w:szCs w:val="24"/>
          <w:rtl/>
        </w:rPr>
        <w:t xml:space="preserve"> تقرير ا</w:t>
      </w:r>
      <w:r>
        <w:rPr>
          <w:rFonts w:ascii="Traditional Arabic" w:hAnsi="Traditional Arabic" w:cs="Traditional Arabic"/>
          <w:sz w:val="24"/>
          <w:szCs w:val="24"/>
          <w:rtl/>
        </w:rPr>
        <w:t>لمدير العام لمكتب العمل العربي:</w:t>
      </w:r>
      <w:r w:rsidRPr="00191675">
        <w:rPr>
          <w:rFonts w:ascii="Traditional Arabic" w:hAnsi="Traditional Arabic" w:cs="Traditional Arabic"/>
          <w:sz w:val="24"/>
          <w:szCs w:val="24"/>
          <w:rtl/>
        </w:rPr>
        <w:t xml:space="preserve"> </w:t>
      </w:r>
      <w:r>
        <w:rPr>
          <w:rFonts w:ascii="Traditional Arabic" w:hAnsi="Traditional Arabic" w:cs="Traditional Arabic" w:hint="cs"/>
          <w:sz w:val="24"/>
          <w:szCs w:val="24"/>
          <w:rtl/>
        </w:rPr>
        <w:t xml:space="preserve">مرجع سابق، </w:t>
      </w:r>
      <w:r w:rsidRPr="00191675">
        <w:rPr>
          <w:rFonts w:ascii="Traditional Arabic" w:hAnsi="Traditional Arabic" w:cs="Traditional Arabic"/>
          <w:sz w:val="24"/>
          <w:szCs w:val="24"/>
          <w:rtl/>
        </w:rPr>
        <w:t>ص</w:t>
      </w:r>
      <w:r>
        <w:rPr>
          <w:rFonts w:ascii="Traditional Arabic" w:hAnsi="Traditional Arabic" w:cs="Traditional Arabic" w:hint="cs"/>
          <w:sz w:val="24"/>
          <w:szCs w:val="24"/>
          <w:rtl/>
        </w:rPr>
        <w:t xml:space="preserve"> ص </w:t>
      </w:r>
      <w:r w:rsidRPr="006F7BC3">
        <w:rPr>
          <w:rFonts w:ascii="Traditional Arabic" w:hAnsi="Traditional Arabic" w:cs="Traditional Arabic" w:hint="cs"/>
          <w:rtl/>
        </w:rPr>
        <w:t>175-</w:t>
      </w:r>
      <w:r w:rsidRPr="006F7BC3">
        <w:rPr>
          <w:rFonts w:ascii="Traditional Arabic" w:hAnsi="Traditional Arabic" w:cs="Traditional Arabic" w:hint="cs"/>
          <w:rtl/>
          <w:lang w:bidi="ar-DZ"/>
        </w:rPr>
        <w:t>176</w:t>
      </w:r>
      <w:r>
        <w:rPr>
          <w:rFonts w:ascii="Traditional Arabic" w:hAnsi="Traditional Arabic" w:cs="Traditional Arabic" w:hint="cs"/>
          <w:sz w:val="24"/>
          <w:szCs w:val="24"/>
          <w:rtl/>
          <w:lang w:bidi="ar-DZ"/>
        </w:rPr>
        <w:t xml:space="preserve">.   </w:t>
      </w:r>
    </w:p>
  </w:footnote>
  <w:footnote w:id="36">
    <w:p w:rsidR="00205648" w:rsidRPr="00AF3879" w:rsidRDefault="00205648" w:rsidP="005E2CA5">
      <w:pPr>
        <w:tabs>
          <w:tab w:val="right" w:pos="567"/>
          <w:tab w:val="left" w:pos="3248"/>
        </w:tabs>
        <w:bidi/>
        <w:spacing w:after="0" w:line="240" w:lineRule="auto"/>
        <w:jc w:val="both"/>
        <w:rPr>
          <w:rFonts w:ascii="Traditional Arabic" w:hAnsi="Traditional Arabic" w:cs="Traditional Arabic"/>
          <w:sz w:val="24"/>
          <w:szCs w:val="24"/>
          <w:rtl/>
          <w:lang w:bidi="ar-DZ"/>
        </w:rPr>
      </w:pPr>
      <w:r w:rsidRPr="004B1DB4">
        <w:rPr>
          <w:rStyle w:val="Appelnotedebasdep"/>
          <w:rFonts w:ascii="Traditional Arabic" w:hAnsi="Traditional Arabic" w:cs="Traditional Arabic"/>
          <w:sz w:val="24"/>
          <w:szCs w:val="24"/>
        </w:rPr>
        <w:footnoteRef/>
      </w:r>
      <w:r w:rsidRPr="004B1DB4">
        <w:rPr>
          <w:rFonts w:ascii="Traditional Arabic" w:hAnsi="Traditional Arabic" w:cs="Traditional Arabic"/>
          <w:sz w:val="24"/>
          <w:szCs w:val="24"/>
          <w:rtl/>
          <w:lang w:bidi="ar-DZ"/>
        </w:rPr>
        <w:t xml:space="preserve"> كريستينا</w:t>
      </w:r>
      <w:r w:rsidRPr="00F3797F">
        <w:rPr>
          <w:rFonts w:ascii="Traditional Arabic" w:hAnsi="Traditional Arabic" w:cs="Traditional Arabic" w:hint="cs"/>
          <w:sz w:val="24"/>
          <w:szCs w:val="24"/>
          <w:rtl/>
          <w:lang w:bidi="ar-DZ"/>
        </w:rPr>
        <w:t xml:space="preserve"> برينت، طارق الحق، نورا كمال:</w:t>
      </w:r>
      <w:r>
        <w:rPr>
          <w:rFonts w:ascii="Traditional Arabic" w:hAnsi="Traditional Arabic" w:cs="Traditional Arabic" w:hint="cs"/>
          <w:sz w:val="24"/>
          <w:szCs w:val="24"/>
          <w:rtl/>
          <w:lang w:bidi="ar-DZ"/>
        </w:rPr>
        <w:t xml:space="preserve"> مرجع سابق، ص ص </w:t>
      </w:r>
      <w:r w:rsidRPr="00EA3FB2">
        <w:rPr>
          <w:rFonts w:ascii="Traditional Arabic" w:hAnsi="Traditional Arabic" w:cs="Traditional Arabic" w:hint="cs"/>
          <w:sz w:val="20"/>
          <w:szCs w:val="20"/>
          <w:rtl/>
          <w:lang w:bidi="ar-DZ"/>
        </w:rPr>
        <w:t>14-16</w:t>
      </w:r>
      <w:r w:rsidRPr="00F3797F">
        <w:rPr>
          <w:rFonts w:ascii="Traditional Arabic" w:hAnsi="Traditional Arabic" w:cs="Traditional Arabic" w:hint="cs"/>
          <w:sz w:val="24"/>
          <w:szCs w:val="24"/>
          <w:rtl/>
          <w:lang w:bidi="ar-DZ"/>
        </w:rPr>
        <w:t xml:space="preserve">.      </w:t>
      </w:r>
    </w:p>
  </w:footnote>
  <w:footnote w:id="37">
    <w:p w:rsidR="00205648" w:rsidRPr="00524EA5" w:rsidRDefault="00205648" w:rsidP="00B677C2">
      <w:pPr>
        <w:bidi/>
        <w:spacing w:after="0"/>
        <w:jc w:val="both"/>
        <w:rPr>
          <w:rFonts w:ascii="Traditional Arabic" w:hAnsi="Traditional Arabic" w:cs="Traditional Arabic"/>
          <w:sz w:val="24"/>
          <w:szCs w:val="24"/>
          <w:rtl/>
          <w:lang w:bidi="ar-DZ"/>
        </w:rPr>
      </w:pPr>
      <w:r w:rsidRPr="009B42E4">
        <w:rPr>
          <w:rStyle w:val="Appelnotedebasdep"/>
          <w:rFonts w:ascii="Traditional Arabic" w:hAnsi="Traditional Arabic" w:cs="Traditional Arabic"/>
          <w:sz w:val="24"/>
          <w:szCs w:val="24"/>
        </w:rPr>
        <w:footnoteRef/>
      </w:r>
      <w:r w:rsidRPr="009B42E4">
        <w:rPr>
          <w:rFonts w:ascii="Traditional Arabic" w:hAnsi="Traditional Arabic" w:cs="Traditional Arabic"/>
          <w:sz w:val="24"/>
          <w:szCs w:val="24"/>
          <w:rtl/>
          <w:lang w:bidi="ar-DZ"/>
        </w:rPr>
        <w:t xml:space="preserve"> </w:t>
      </w:r>
      <w:r w:rsidRPr="009B42E4">
        <w:rPr>
          <w:rFonts w:ascii="Traditional Arabic" w:hAnsi="Traditional Arabic" w:cs="Traditional Arabic"/>
          <w:sz w:val="24"/>
          <w:szCs w:val="24"/>
          <w:rtl/>
        </w:rPr>
        <w:t>تقرير المدير</w:t>
      </w:r>
      <w:r>
        <w:rPr>
          <w:rFonts w:ascii="Traditional Arabic" w:hAnsi="Traditional Arabic" w:cs="Traditional Arabic"/>
          <w:sz w:val="24"/>
          <w:szCs w:val="24"/>
          <w:rtl/>
        </w:rPr>
        <w:t xml:space="preserve"> العام لمكتب العمل العربي:</w:t>
      </w:r>
      <w:r w:rsidRPr="006759F3">
        <w:rPr>
          <w:rFonts w:ascii="Traditional Arabic" w:hAnsi="Traditional Arabic" w:cs="Traditional Arabic"/>
          <w:sz w:val="24"/>
          <w:szCs w:val="24"/>
          <w:rtl/>
        </w:rPr>
        <w:t xml:space="preserve"> م</w:t>
      </w:r>
      <w:r w:rsidRPr="006759F3">
        <w:rPr>
          <w:rFonts w:ascii="Traditional Arabic" w:hAnsi="Traditional Arabic" w:cs="Traditional Arabic" w:hint="cs"/>
          <w:sz w:val="24"/>
          <w:szCs w:val="24"/>
          <w:rtl/>
        </w:rPr>
        <w:t>رجع سابق، ص</w:t>
      </w:r>
      <w:r>
        <w:rPr>
          <w:rFonts w:ascii="Traditional Arabic" w:hAnsi="Traditional Arabic" w:cs="Traditional Arabic" w:hint="cs"/>
          <w:sz w:val="24"/>
          <w:szCs w:val="24"/>
          <w:rtl/>
        </w:rPr>
        <w:t xml:space="preserve"> ص </w:t>
      </w:r>
      <w:r w:rsidRPr="00524EA5">
        <w:rPr>
          <w:rFonts w:ascii="Traditional Arabic" w:hAnsi="Traditional Arabic" w:cs="Traditional Arabic" w:hint="cs"/>
          <w:sz w:val="20"/>
          <w:szCs w:val="20"/>
          <w:rtl/>
        </w:rPr>
        <w:t>166-168</w:t>
      </w:r>
      <w:r>
        <w:rPr>
          <w:rFonts w:ascii="Traditional Arabic" w:hAnsi="Traditional Arabic" w:cs="Traditional Arabic" w:hint="cs"/>
          <w:sz w:val="24"/>
          <w:szCs w:val="24"/>
          <w:rtl/>
        </w:rPr>
        <w:t xml:space="preserve">.     </w:t>
      </w:r>
    </w:p>
  </w:footnote>
  <w:footnote w:id="38">
    <w:p w:rsidR="00205648" w:rsidRPr="00A30177" w:rsidRDefault="00205648" w:rsidP="00B677C2">
      <w:pPr>
        <w:pStyle w:val="Notedebasdepage"/>
        <w:spacing w:line="276" w:lineRule="auto"/>
        <w:jc w:val="both"/>
        <w:rPr>
          <w:rFonts w:asciiTheme="majorBidi" w:hAnsiTheme="majorBidi" w:cstheme="majorBidi"/>
          <w:lang w:bidi="ar-DZ"/>
        </w:rPr>
      </w:pPr>
      <w:r w:rsidRPr="00A30177">
        <w:rPr>
          <w:rStyle w:val="Appelnotedebasdep"/>
          <w:rFonts w:asciiTheme="majorBidi" w:hAnsiTheme="majorBidi"/>
        </w:rPr>
        <w:footnoteRef/>
      </w:r>
      <w:r w:rsidRPr="00A30177">
        <w:rPr>
          <w:rFonts w:asciiTheme="majorBidi" w:hAnsiTheme="majorBidi" w:cstheme="majorBidi"/>
        </w:rPr>
        <w:t xml:space="preserve"> </w:t>
      </w:r>
      <w:r>
        <w:rPr>
          <w:rFonts w:asciiTheme="majorBidi" w:hAnsiTheme="majorBidi" w:cstheme="majorBidi"/>
        </w:rPr>
        <w:t>Abderrahmane Mebtoul</w:t>
      </w:r>
      <w:r w:rsidRPr="00A30177">
        <w:rPr>
          <w:rFonts w:asciiTheme="majorBidi" w:hAnsiTheme="majorBidi" w:cstheme="majorBidi"/>
        </w:rPr>
        <w:t>: la crise financière internationale et se</w:t>
      </w:r>
      <w:r>
        <w:rPr>
          <w:rFonts w:asciiTheme="majorBidi" w:hAnsiTheme="majorBidi" w:cstheme="majorBidi"/>
        </w:rPr>
        <w:t>s</w:t>
      </w:r>
      <w:r w:rsidRPr="00A30177">
        <w:rPr>
          <w:rFonts w:asciiTheme="majorBidi" w:hAnsiTheme="majorBidi" w:cstheme="majorBidi"/>
        </w:rPr>
        <w:t xml:space="preserve"> répercussions sur l’économie Algérienne, conférence débats,</w:t>
      </w:r>
      <w:r>
        <w:rPr>
          <w:rFonts w:asciiTheme="majorBidi" w:hAnsiTheme="majorBidi" w:cstheme="majorBidi"/>
        </w:rPr>
        <w:t xml:space="preserve"> université d’Oran, 04/11/2008, pp 12-13. </w:t>
      </w:r>
    </w:p>
  </w:footnote>
  <w:footnote w:id="39">
    <w:p w:rsidR="00205648" w:rsidRPr="007A7217" w:rsidRDefault="00205648" w:rsidP="00B677C2">
      <w:pPr>
        <w:spacing w:after="0"/>
        <w:jc w:val="both"/>
        <w:rPr>
          <w:rFonts w:asciiTheme="majorBidi" w:hAnsiTheme="majorBidi" w:cstheme="majorBidi"/>
          <w:sz w:val="20"/>
          <w:szCs w:val="20"/>
          <w:rtl/>
        </w:rPr>
      </w:pPr>
      <w:r w:rsidRPr="007A7217">
        <w:rPr>
          <w:rStyle w:val="Appelnotedebasdep"/>
          <w:rFonts w:asciiTheme="majorBidi" w:hAnsiTheme="majorBidi"/>
          <w:sz w:val="20"/>
          <w:szCs w:val="20"/>
        </w:rPr>
        <w:footnoteRef/>
      </w:r>
      <w:r w:rsidRPr="007A7217">
        <w:rPr>
          <w:rFonts w:asciiTheme="majorBidi" w:hAnsiTheme="majorBidi" w:cstheme="majorBidi"/>
          <w:sz w:val="20"/>
          <w:szCs w:val="20"/>
          <w:rtl/>
          <w:lang w:bidi="ar-DZ"/>
        </w:rPr>
        <w:t xml:space="preserve"> </w:t>
      </w:r>
      <w:r w:rsidRPr="007A7217">
        <w:rPr>
          <w:rFonts w:asciiTheme="majorBidi" w:hAnsiTheme="majorBidi" w:cstheme="majorBidi"/>
          <w:sz w:val="20"/>
          <w:szCs w:val="20"/>
        </w:rPr>
        <w:t>Abderrahmane Mebtoul: lettre ouverte à Monsieur le Ministre des Finances. Non, Monsieur le Ministre, la crise mondiale est structurelle et non conjoncturelle et ira au-delà de 2012/2013, le Quotidien d’Oran, n°4299, 1</w:t>
      </w:r>
      <w:r w:rsidRPr="007A7217">
        <w:rPr>
          <w:rFonts w:asciiTheme="majorBidi" w:hAnsiTheme="majorBidi" w:cstheme="majorBidi"/>
          <w:sz w:val="20"/>
          <w:szCs w:val="20"/>
          <w:vertAlign w:val="superscript"/>
        </w:rPr>
        <w:t>er</w:t>
      </w:r>
      <w:r w:rsidRPr="007A7217">
        <w:rPr>
          <w:rFonts w:asciiTheme="majorBidi" w:hAnsiTheme="majorBidi" w:cstheme="majorBidi"/>
          <w:sz w:val="20"/>
          <w:szCs w:val="20"/>
        </w:rPr>
        <w:t xml:space="preserve"> février 2009, p 6.  </w:t>
      </w:r>
    </w:p>
  </w:footnote>
  <w:footnote w:id="40">
    <w:p w:rsidR="00205648" w:rsidRPr="00A2278F" w:rsidRDefault="00205648" w:rsidP="00F049EB">
      <w:pPr>
        <w:bidi/>
        <w:spacing w:after="0" w:line="240" w:lineRule="auto"/>
        <w:rPr>
          <w:rStyle w:val="Appelnotedebasdep"/>
          <w:rFonts w:ascii="Traditional Arabic" w:hAnsi="Traditional Arabic" w:cs="Traditional Arabic"/>
          <w:sz w:val="24"/>
          <w:szCs w:val="24"/>
          <w:vertAlign w:val="baseline"/>
          <w:lang w:bidi="ar-DZ"/>
        </w:rPr>
      </w:pPr>
      <w:r w:rsidRPr="00361915">
        <w:rPr>
          <w:rStyle w:val="Appelnotedebasdep"/>
          <w:rFonts w:asciiTheme="majorBidi" w:hAnsiTheme="majorBidi" w:cstheme="majorBidi"/>
        </w:rPr>
        <w:sym w:font="Symbol" w:char="F02A"/>
      </w:r>
      <w:r w:rsidRPr="00361915">
        <w:rPr>
          <w:rStyle w:val="Appelnotedebasdep"/>
        </w:rPr>
        <w:t xml:space="preserve"> </w:t>
      </w:r>
      <w:r w:rsidR="001D0C3A">
        <w:rPr>
          <w:rFonts w:hint="cs"/>
          <w:rtl/>
        </w:rPr>
        <w:t xml:space="preserve"> </w:t>
      </w:r>
      <w:r w:rsidR="001D0C3A" w:rsidRPr="00A2278F">
        <w:rPr>
          <w:rFonts w:asciiTheme="majorBidi" w:hAnsiTheme="majorBidi" w:cstheme="majorBidi"/>
          <w:sz w:val="20"/>
          <w:szCs w:val="20"/>
        </w:rPr>
        <w:t>Tonne équivalent pétrole</w:t>
      </w:r>
      <w:r w:rsidR="001D0C3A" w:rsidRPr="00A2278F">
        <w:rPr>
          <w:rFonts w:asciiTheme="majorBidi" w:hAnsiTheme="majorBidi" w:cstheme="majorBidi" w:hint="cs"/>
          <w:sz w:val="20"/>
          <w:szCs w:val="20"/>
          <w:rtl/>
        </w:rPr>
        <w:t xml:space="preserve"> </w:t>
      </w:r>
      <w:r w:rsidR="001D0C3A">
        <w:rPr>
          <w:rFonts w:asciiTheme="majorBidi" w:hAnsiTheme="majorBidi" w:cstheme="majorBidi" w:hint="cs"/>
          <w:rtl/>
        </w:rPr>
        <w:t xml:space="preserve">: </w:t>
      </w:r>
      <w:r w:rsidR="00A2278F" w:rsidRPr="006E4D3E">
        <w:rPr>
          <w:rFonts w:ascii="Traditional Arabic" w:hAnsi="Traditional Arabic" w:cs="Traditional Arabic"/>
          <w:sz w:val="24"/>
          <w:szCs w:val="24"/>
          <w:rtl/>
          <w:lang w:bidi="ar-DZ"/>
        </w:rPr>
        <w:t xml:space="preserve">وحدة </w:t>
      </w:r>
      <w:r w:rsidR="00A2278F" w:rsidRPr="006E4D3E">
        <w:rPr>
          <w:rFonts w:ascii="Traditional Arabic" w:hAnsi="Traditional Arabic" w:cs="Traditional Arabic" w:hint="cs"/>
          <w:sz w:val="24"/>
          <w:szCs w:val="24"/>
          <w:rtl/>
          <w:lang w:bidi="ar-DZ"/>
        </w:rPr>
        <w:t>تستخدم لمقارنة البترول بالمصادر الأخرى للطاقة</w:t>
      </w:r>
      <w:r w:rsidR="00A2278F">
        <w:rPr>
          <w:rFonts w:ascii="Traditional Arabic" w:hAnsi="Traditional Arabic" w:cs="Traditional Arabic" w:hint="cs"/>
          <w:sz w:val="24"/>
          <w:szCs w:val="24"/>
          <w:rtl/>
          <w:lang w:bidi="ar-DZ"/>
        </w:rPr>
        <w:t xml:space="preserve">. </w:t>
      </w:r>
      <w:r w:rsidR="00A2278F" w:rsidRPr="006E4D3E">
        <w:rPr>
          <w:rFonts w:ascii="Traditional Arabic" w:hAnsi="Traditional Arabic" w:cs="Traditional Arabic" w:hint="cs"/>
          <w:sz w:val="24"/>
          <w:szCs w:val="24"/>
          <w:rtl/>
          <w:lang w:bidi="ar-DZ"/>
        </w:rPr>
        <w:t xml:space="preserve"> </w:t>
      </w:r>
      <w:r w:rsidR="001D0C3A">
        <w:rPr>
          <w:rFonts w:asciiTheme="majorBidi" w:hAnsiTheme="majorBidi" w:cstheme="majorBidi" w:hint="cs"/>
          <w:rtl/>
        </w:rPr>
        <w:t xml:space="preserve"> </w:t>
      </w:r>
      <w:r w:rsidR="001D0C3A" w:rsidRPr="00361915">
        <w:rPr>
          <w:rStyle w:val="Appelnotedebasdep"/>
        </w:rPr>
        <w:t xml:space="preserve"> </w:t>
      </w:r>
    </w:p>
  </w:footnote>
  <w:footnote w:id="41">
    <w:p w:rsidR="00205648" w:rsidRPr="00E9578B" w:rsidRDefault="00205648" w:rsidP="00F049EB">
      <w:pPr>
        <w:pStyle w:val="Notedebasdepage"/>
        <w:jc w:val="both"/>
        <w:rPr>
          <w:rFonts w:asciiTheme="majorBidi" w:hAnsiTheme="majorBidi" w:cstheme="majorBidi"/>
          <w:rtl/>
          <w:lang w:bidi="ar-DZ"/>
        </w:rPr>
      </w:pPr>
      <w:r w:rsidRPr="00E9578B">
        <w:rPr>
          <w:rStyle w:val="Appelnotedebasdep"/>
          <w:rFonts w:asciiTheme="majorBidi" w:hAnsiTheme="majorBidi"/>
        </w:rPr>
        <w:footnoteRef/>
      </w:r>
      <w:r w:rsidRPr="00E9578B">
        <w:rPr>
          <w:rFonts w:asciiTheme="majorBidi" w:hAnsiTheme="majorBidi" w:cstheme="majorBidi"/>
        </w:rPr>
        <w:t xml:space="preserve"> </w:t>
      </w:r>
      <w:r>
        <w:rPr>
          <w:rFonts w:asciiTheme="majorBidi" w:hAnsiTheme="majorBidi" w:cstheme="majorBidi"/>
        </w:rPr>
        <w:t>Abderrahmane Mebtoul</w:t>
      </w:r>
      <w:r w:rsidRPr="00E9578B">
        <w:rPr>
          <w:rFonts w:asciiTheme="majorBidi" w:hAnsiTheme="majorBidi" w:cstheme="majorBidi"/>
        </w:rPr>
        <w:t>: la crise financière internationale et se</w:t>
      </w:r>
      <w:r>
        <w:rPr>
          <w:rFonts w:asciiTheme="majorBidi" w:hAnsiTheme="majorBidi" w:cstheme="majorBidi"/>
        </w:rPr>
        <w:t>s</w:t>
      </w:r>
      <w:r w:rsidRPr="00E9578B">
        <w:rPr>
          <w:rFonts w:asciiTheme="majorBidi" w:hAnsiTheme="majorBidi" w:cstheme="majorBidi"/>
        </w:rPr>
        <w:t xml:space="preserve"> répercussions sur l’économie Algérienne, op</w:t>
      </w:r>
      <w:r>
        <w:rPr>
          <w:rFonts w:asciiTheme="majorBidi" w:hAnsiTheme="majorBidi" w:cstheme="majorBidi"/>
        </w:rPr>
        <w:t>.</w:t>
      </w:r>
      <w:r w:rsidRPr="00E9578B">
        <w:rPr>
          <w:rFonts w:asciiTheme="majorBidi" w:hAnsiTheme="majorBidi" w:cstheme="majorBidi"/>
        </w:rPr>
        <w:t xml:space="preserve">cit, p 14. </w:t>
      </w:r>
      <w:r>
        <w:rPr>
          <w:rFonts w:asciiTheme="majorBidi" w:hAnsiTheme="majorBidi" w:cstheme="majorBidi"/>
        </w:rPr>
        <w:t xml:space="preserve"> </w:t>
      </w:r>
    </w:p>
  </w:footnote>
  <w:footnote w:id="42">
    <w:p w:rsidR="00205648" w:rsidRPr="002A43A1" w:rsidRDefault="00205648" w:rsidP="00F049EB">
      <w:pPr>
        <w:spacing w:after="0" w:line="240" w:lineRule="auto"/>
        <w:jc w:val="both"/>
        <w:rPr>
          <w:rFonts w:asciiTheme="majorBidi" w:hAnsiTheme="majorBidi" w:cstheme="majorBidi"/>
          <w:sz w:val="20"/>
          <w:szCs w:val="20"/>
          <w:rtl/>
        </w:rPr>
      </w:pPr>
      <w:r w:rsidRPr="002A43A1">
        <w:rPr>
          <w:rStyle w:val="Appelnotedebasdep"/>
          <w:rFonts w:asciiTheme="majorBidi" w:hAnsiTheme="majorBidi"/>
          <w:sz w:val="20"/>
          <w:szCs w:val="20"/>
        </w:rPr>
        <w:footnoteRef/>
      </w:r>
      <w:r w:rsidRPr="002A43A1">
        <w:rPr>
          <w:rFonts w:asciiTheme="majorBidi" w:hAnsiTheme="majorBidi" w:cstheme="majorBidi"/>
          <w:sz w:val="20"/>
          <w:szCs w:val="20"/>
          <w:rtl/>
          <w:lang w:bidi="ar-DZ"/>
        </w:rPr>
        <w:t xml:space="preserve"> </w:t>
      </w:r>
      <w:r w:rsidRPr="002A43A1">
        <w:rPr>
          <w:rFonts w:asciiTheme="majorBidi" w:hAnsiTheme="majorBidi" w:cstheme="majorBidi"/>
          <w:sz w:val="20"/>
          <w:szCs w:val="20"/>
        </w:rPr>
        <w:t xml:space="preserve">Abderrahmane Mebtoul: lettre ouverte à Monsieur le Ministre des Finances. Non, Monsieur le Ministre, la crise mondiale est structurelle et non conjoncturelle et ira au-delà de 2012/2013, op.cit, p 7.   </w:t>
      </w:r>
    </w:p>
  </w:footnote>
  <w:footnote w:id="43">
    <w:p w:rsidR="00205648" w:rsidRPr="00E9578B" w:rsidRDefault="00205648" w:rsidP="00F049EB">
      <w:pPr>
        <w:pStyle w:val="Notedebasdepage"/>
        <w:jc w:val="both"/>
        <w:rPr>
          <w:rFonts w:asciiTheme="majorBidi" w:hAnsiTheme="majorBidi" w:cstheme="majorBidi"/>
          <w:rtl/>
          <w:lang w:bidi="ar-DZ"/>
        </w:rPr>
      </w:pPr>
      <w:r w:rsidRPr="00E9578B">
        <w:rPr>
          <w:rStyle w:val="Appelnotedebasdep"/>
          <w:rFonts w:asciiTheme="majorBidi" w:hAnsiTheme="majorBidi"/>
        </w:rPr>
        <w:footnoteRef/>
      </w:r>
      <w:r w:rsidRPr="00E9578B">
        <w:rPr>
          <w:rFonts w:asciiTheme="majorBidi" w:hAnsiTheme="majorBidi" w:cstheme="majorBidi"/>
        </w:rPr>
        <w:t xml:space="preserve"> </w:t>
      </w:r>
      <w:r>
        <w:rPr>
          <w:rFonts w:asciiTheme="majorBidi" w:hAnsiTheme="majorBidi" w:cstheme="majorBidi"/>
        </w:rPr>
        <w:t>Abderrahmane Mebtoul</w:t>
      </w:r>
      <w:r w:rsidRPr="00E9578B">
        <w:rPr>
          <w:rFonts w:asciiTheme="majorBidi" w:hAnsiTheme="majorBidi" w:cstheme="majorBidi"/>
        </w:rPr>
        <w:t xml:space="preserve">: Sonatrach 2009/2013 face à la crise financière mondiale, le Quotidien d’Oran, 27 janvier 2009, p 7. </w:t>
      </w:r>
    </w:p>
  </w:footnote>
  <w:footnote w:id="44">
    <w:p w:rsidR="00205648" w:rsidRPr="00E9578B" w:rsidRDefault="00205648" w:rsidP="00F049EB">
      <w:pPr>
        <w:pStyle w:val="Style1"/>
        <w:kinsoku w:val="0"/>
        <w:autoSpaceDE/>
        <w:autoSpaceDN/>
        <w:rPr>
          <w:rFonts w:asciiTheme="majorBidi" w:hAnsiTheme="majorBidi" w:cstheme="majorBidi"/>
          <w:spacing w:val="2"/>
          <w:w w:val="165"/>
          <w:sz w:val="20"/>
          <w:szCs w:val="20"/>
          <w:rtl/>
          <w:lang w:bidi="ar-DZ"/>
        </w:rPr>
      </w:pPr>
      <w:r w:rsidRPr="00E9578B">
        <w:rPr>
          <w:rStyle w:val="Appelnotedebasdep"/>
          <w:rFonts w:asciiTheme="majorBidi" w:eastAsiaTheme="majorEastAsia" w:hAnsiTheme="majorBidi"/>
          <w:sz w:val="20"/>
          <w:szCs w:val="20"/>
        </w:rPr>
        <w:footnoteRef/>
      </w:r>
      <w:r w:rsidRPr="00E9578B">
        <w:rPr>
          <w:rFonts w:asciiTheme="majorBidi" w:hAnsiTheme="majorBidi" w:cstheme="majorBidi"/>
          <w:sz w:val="20"/>
          <w:szCs w:val="20"/>
        </w:rPr>
        <w:t xml:space="preserve"> Hocine  Bénissad: la crise financière et économique : une chronologie simplifiée,  </w:t>
      </w:r>
      <w:r w:rsidRPr="00E9578B">
        <w:rPr>
          <w:rStyle w:val="CharacterStyle2"/>
          <w:rFonts w:asciiTheme="majorBidi" w:hAnsiTheme="majorBidi" w:cstheme="majorBidi"/>
          <w:spacing w:val="2"/>
        </w:rPr>
        <w:t xml:space="preserve">El Watan, 11 décembre 2008, p 8. </w:t>
      </w:r>
    </w:p>
  </w:footnote>
  <w:footnote w:id="45">
    <w:p w:rsidR="00205648" w:rsidRPr="00896F27" w:rsidRDefault="00205648" w:rsidP="002124BA">
      <w:pPr>
        <w:pStyle w:val="Notedebasdepage"/>
        <w:bidi/>
        <w:rPr>
          <w:rFonts w:ascii="Traditional Arabic" w:hAnsi="Traditional Arabic" w:cs="Traditional Arabic"/>
          <w:sz w:val="24"/>
          <w:szCs w:val="24"/>
          <w:rtl/>
          <w:lang w:bidi="ar-DZ"/>
        </w:rPr>
      </w:pPr>
      <w:r w:rsidRPr="00896F27">
        <w:rPr>
          <w:rStyle w:val="Appelnotedebasdep"/>
          <w:rFonts w:ascii="Traditional Arabic" w:hAnsi="Traditional Arabic" w:cs="Traditional Arabic"/>
          <w:sz w:val="24"/>
          <w:szCs w:val="24"/>
        </w:rPr>
        <w:footnoteRef/>
      </w:r>
      <w:r w:rsidRPr="00896F27">
        <w:rPr>
          <w:rFonts w:ascii="Traditional Arabic" w:hAnsi="Traditional Arabic" w:cs="Traditional Arabic"/>
          <w:sz w:val="24"/>
          <w:szCs w:val="24"/>
          <w:rtl/>
          <w:lang w:bidi="ar-DZ"/>
        </w:rPr>
        <w:t xml:space="preserve"> صندوق النقد</w:t>
      </w:r>
      <w:r>
        <w:rPr>
          <w:rFonts w:ascii="Traditional Arabic" w:hAnsi="Traditional Arabic" w:cs="Traditional Arabic"/>
          <w:sz w:val="24"/>
          <w:szCs w:val="24"/>
          <w:rtl/>
          <w:lang w:bidi="ar-DZ"/>
        </w:rPr>
        <w:t xml:space="preserve"> الدولي: آفاق الاقتصاد العالمي،</w:t>
      </w:r>
      <w:r w:rsidRPr="00896F27">
        <w:rPr>
          <w:rFonts w:ascii="Traditional Arabic" w:hAnsi="Traditional Arabic" w:cs="Traditional Arabic"/>
          <w:sz w:val="24"/>
          <w:szCs w:val="24"/>
          <w:rtl/>
          <w:lang w:bidi="ar-DZ"/>
        </w:rPr>
        <w:t xml:space="preserve"> ص </w:t>
      </w:r>
      <w:r w:rsidRPr="00896F27">
        <w:rPr>
          <w:rFonts w:ascii="Traditional Arabic" w:hAnsi="Traditional Arabic" w:cs="Traditional Arabic"/>
          <w:rtl/>
          <w:lang w:bidi="ar-DZ"/>
        </w:rPr>
        <w:t>56</w:t>
      </w:r>
      <w:r w:rsidRPr="00896F27">
        <w:rPr>
          <w:rFonts w:ascii="Traditional Arabic" w:hAnsi="Traditional Arabic" w:cs="Traditional Arabic"/>
          <w:sz w:val="24"/>
          <w:szCs w:val="24"/>
          <w:rtl/>
          <w:lang w:bidi="ar-DZ"/>
        </w:rPr>
        <w:t>.</w:t>
      </w:r>
    </w:p>
  </w:footnote>
  <w:footnote w:id="46">
    <w:p w:rsidR="00205648" w:rsidRPr="00233BCE" w:rsidRDefault="00205648" w:rsidP="00F4158A">
      <w:pPr>
        <w:pStyle w:val="Notedebasdepage"/>
        <w:spacing w:line="276" w:lineRule="auto"/>
        <w:jc w:val="both"/>
        <w:rPr>
          <w:rFonts w:asciiTheme="majorBidi" w:hAnsiTheme="majorBidi" w:cstheme="majorBidi"/>
        </w:rPr>
      </w:pPr>
      <w:r w:rsidRPr="00233BCE">
        <w:rPr>
          <w:rStyle w:val="Appelnotedebasdep"/>
          <w:rFonts w:asciiTheme="majorBidi" w:hAnsiTheme="majorBidi"/>
        </w:rPr>
        <w:footnoteRef/>
      </w:r>
      <w:r>
        <w:rPr>
          <w:rFonts w:asciiTheme="majorBidi" w:hAnsiTheme="majorBidi" w:cstheme="majorBidi"/>
        </w:rPr>
        <w:t xml:space="preserve"> Abderrahmane Mebtoul</w:t>
      </w:r>
      <w:r>
        <w:rPr>
          <w:rFonts w:asciiTheme="majorBidi" w:hAnsiTheme="majorBidi" w:cstheme="majorBidi" w:hint="cs"/>
          <w:rtl/>
        </w:rPr>
        <w:t>:</w:t>
      </w:r>
      <w:r w:rsidRPr="00233BCE">
        <w:rPr>
          <w:rFonts w:asciiTheme="majorBidi" w:hAnsiTheme="majorBidi" w:cstheme="majorBidi"/>
        </w:rPr>
        <w:t xml:space="preserve"> la crise financière internationale et se</w:t>
      </w:r>
      <w:r>
        <w:rPr>
          <w:rFonts w:asciiTheme="majorBidi" w:hAnsiTheme="majorBidi" w:cstheme="majorBidi"/>
        </w:rPr>
        <w:t>s</w:t>
      </w:r>
      <w:r w:rsidRPr="00233BCE">
        <w:rPr>
          <w:rFonts w:asciiTheme="majorBidi" w:hAnsiTheme="majorBidi" w:cstheme="majorBidi"/>
        </w:rPr>
        <w:t xml:space="preserve"> répercussions sur l’économie Algérienne,</w:t>
      </w:r>
      <w:r>
        <w:rPr>
          <w:rFonts w:asciiTheme="majorBidi" w:hAnsiTheme="majorBidi" w:cstheme="majorBidi"/>
        </w:rPr>
        <w:t xml:space="preserve"> op.cit,</w:t>
      </w:r>
      <w:r w:rsidRPr="00233BCE">
        <w:rPr>
          <w:rFonts w:asciiTheme="majorBidi" w:hAnsiTheme="majorBidi" w:cstheme="majorBidi"/>
        </w:rPr>
        <w:t xml:space="preserve"> </w:t>
      </w:r>
      <w:r>
        <w:rPr>
          <w:rFonts w:asciiTheme="majorBidi" w:hAnsiTheme="majorBidi" w:cstheme="majorBidi"/>
        </w:rPr>
        <w:t xml:space="preserve">p 5. </w:t>
      </w:r>
    </w:p>
  </w:footnote>
  <w:footnote w:id="47">
    <w:p w:rsidR="00205648" w:rsidRPr="00D602FE" w:rsidRDefault="00205648" w:rsidP="00F4158A">
      <w:pPr>
        <w:pStyle w:val="Notedebasdepage"/>
        <w:bidi/>
        <w:spacing w:line="276" w:lineRule="auto"/>
        <w:rPr>
          <w:rFonts w:ascii="Traditional Arabic" w:hAnsi="Traditional Arabic" w:cs="Traditional Arabic"/>
          <w:rtl/>
          <w:lang w:bidi="ar-DZ"/>
        </w:rPr>
      </w:pPr>
      <w:r w:rsidRPr="00D476B5">
        <w:rPr>
          <w:rStyle w:val="Appelnotedebasdep"/>
          <w:rFonts w:ascii="Traditional Arabic" w:hAnsi="Traditional Arabic" w:cs="Traditional Arabic"/>
          <w:sz w:val="24"/>
          <w:szCs w:val="24"/>
        </w:rPr>
        <w:footnoteRef/>
      </w:r>
      <w:r w:rsidRPr="00D476B5">
        <w:rPr>
          <w:rFonts w:ascii="Traditional Arabic" w:hAnsi="Traditional Arabic" w:cs="Traditional Arabic"/>
          <w:sz w:val="24"/>
          <w:szCs w:val="24"/>
          <w:rtl/>
          <w:lang w:bidi="ar-DZ"/>
        </w:rPr>
        <w:t xml:space="preserve"> </w:t>
      </w:r>
      <w:r w:rsidRPr="00D476B5">
        <w:rPr>
          <w:rFonts w:ascii="Traditional Arabic" w:hAnsi="Traditional Arabic" w:cs="Traditional Arabic" w:hint="cs"/>
          <w:sz w:val="24"/>
          <w:szCs w:val="24"/>
          <w:rtl/>
          <w:lang w:bidi="ar-DZ"/>
        </w:rPr>
        <w:t>مجلة</w:t>
      </w:r>
      <w:r w:rsidRPr="00D602FE">
        <w:rPr>
          <w:rFonts w:ascii="Traditional Arabic" w:hAnsi="Traditional Arabic" w:cs="Traditional Arabic" w:hint="cs"/>
          <w:sz w:val="24"/>
          <w:szCs w:val="24"/>
          <w:rtl/>
          <w:lang w:bidi="ar-DZ"/>
        </w:rPr>
        <w:t xml:space="preserve"> الأبحاث الاقتصادية، العدد </w:t>
      </w:r>
      <w:r w:rsidRPr="00D602FE">
        <w:rPr>
          <w:rFonts w:ascii="Traditional Arabic" w:hAnsi="Traditional Arabic" w:cs="Traditional Arabic" w:hint="cs"/>
          <w:rtl/>
          <w:lang w:bidi="ar-DZ"/>
        </w:rPr>
        <w:t>15</w:t>
      </w:r>
      <w:r w:rsidRPr="00D602FE">
        <w:rPr>
          <w:rFonts w:ascii="Traditional Arabic" w:hAnsi="Traditional Arabic" w:cs="Traditional Arabic" w:hint="cs"/>
          <w:sz w:val="24"/>
          <w:szCs w:val="24"/>
          <w:rtl/>
          <w:lang w:bidi="ar-DZ"/>
        </w:rPr>
        <w:t xml:space="preserve">، دار الأبحاث للترجمة و النشر والتوزيع، الجزائر، سبتمبر </w:t>
      </w:r>
      <w:r w:rsidRPr="00D602FE">
        <w:rPr>
          <w:rFonts w:ascii="Traditional Arabic" w:hAnsi="Traditional Arabic" w:cs="Traditional Arabic" w:hint="cs"/>
          <w:rtl/>
          <w:lang w:bidi="ar-DZ"/>
        </w:rPr>
        <w:t>2009</w:t>
      </w:r>
      <w:r w:rsidRPr="00D602FE">
        <w:rPr>
          <w:rFonts w:ascii="Traditional Arabic" w:hAnsi="Traditional Arabic" w:cs="Traditional Arabic"/>
          <w:rtl/>
          <w:lang w:bidi="ar-DZ"/>
        </w:rPr>
        <w:t xml:space="preserve">، </w:t>
      </w:r>
      <w:r w:rsidRPr="00D602FE">
        <w:rPr>
          <w:rFonts w:ascii="Traditional Arabic" w:hAnsi="Traditional Arabic" w:cs="Traditional Arabic"/>
          <w:sz w:val="24"/>
          <w:szCs w:val="24"/>
          <w:rtl/>
          <w:lang w:bidi="ar-DZ"/>
        </w:rPr>
        <w:t xml:space="preserve">ص </w:t>
      </w:r>
      <w:r w:rsidRPr="00D602FE">
        <w:rPr>
          <w:rFonts w:ascii="Traditional Arabic" w:hAnsi="Traditional Arabic" w:cs="Traditional Arabic"/>
          <w:rtl/>
          <w:lang w:bidi="ar-DZ"/>
        </w:rPr>
        <w:t xml:space="preserve">53. </w:t>
      </w:r>
      <w:r>
        <w:rPr>
          <w:rFonts w:ascii="Traditional Arabic" w:hAnsi="Traditional Arabic" w:cs="Traditional Arabic"/>
          <w:lang w:bidi="ar-DZ"/>
        </w:rPr>
        <w:t xml:space="preserve">  </w:t>
      </w:r>
    </w:p>
  </w:footnote>
  <w:footnote w:id="48">
    <w:p w:rsidR="00205648" w:rsidRPr="00DC2565" w:rsidRDefault="00205648" w:rsidP="00F4158A">
      <w:pPr>
        <w:pStyle w:val="Notedebasdepage"/>
        <w:spacing w:line="276" w:lineRule="auto"/>
        <w:jc w:val="both"/>
        <w:rPr>
          <w:lang w:bidi="ar-DZ"/>
        </w:rPr>
      </w:pPr>
      <w:r w:rsidRPr="00B429CD">
        <w:rPr>
          <w:rStyle w:val="Appelnotedebasdep"/>
          <w:rFonts w:asciiTheme="majorBidi" w:hAnsiTheme="majorBidi" w:cstheme="majorBidi"/>
        </w:rPr>
        <w:footnoteRef/>
      </w:r>
      <w:r w:rsidRPr="00B429CD">
        <w:rPr>
          <w:rFonts w:asciiTheme="majorBidi" w:hAnsiTheme="majorBidi" w:cstheme="majorBidi"/>
        </w:rPr>
        <w:t xml:space="preserve"> </w:t>
      </w:r>
      <w:r>
        <w:rPr>
          <w:rFonts w:asciiTheme="majorBidi" w:hAnsiTheme="majorBidi" w:cstheme="majorBidi"/>
        </w:rPr>
        <w:t xml:space="preserve">Abderrahmane Mebtoul: hausse des cours du pétrole et de l’euro : quel impact sur l’économie Algérienne ? Le Quotidien d’Oran, 04 mars 2008, p7.  </w:t>
      </w:r>
    </w:p>
  </w:footnote>
  <w:footnote w:id="49">
    <w:p w:rsidR="00205648" w:rsidRPr="005C50A3" w:rsidRDefault="00205648" w:rsidP="004E72FF">
      <w:pPr>
        <w:pStyle w:val="Notedebasdepage"/>
        <w:spacing w:line="276" w:lineRule="auto"/>
        <w:jc w:val="both"/>
        <w:rPr>
          <w:rFonts w:asciiTheme="majorBidi" w:hAnsiTheme="majorBidi" w:cstheme="majorBidi"/>
          <w:lang w:bidi="ar-DZ"/>
        </w:rPr>
      </w:pPr>
      <w:r w:rsidRPr="005C50A3">
        <w:rPr>
          <w:rStyle w:val="Appelnotedebasdep"/>
          <w:rFonts w:asciiTheme="majorBidi" w:hAnsiTheme="majorBidi"/>
        </w:rPr>
        <w:footnoteRef/>
      </w:r>
      <w:r w:rsidRPr="005C50A3">
        <w:rPr>
          <w:rFonts w:asciiTheme="majorBidi" w:hAnsiTheme="majorBidi" w:cstheme="majorBidi"/>
        </w:rPr>
        <w:t xml:space="preserve"> </w:t>
      </w:r>
      <w:r>
        <w:rPr>
          <w:rFonts w:asciiTheme="majorBidi" w:hAnsiTheme="majorBidi" w:cstheme="majorBidi"/>
        </w:rPr>
        <w:t>Abderrahmane Mebtoul</w:t>
      </w:r>
      <w:r w:rsidRPr="005C50A3">
        <w:rPr>
          <w:rFonts w:asciiTheme="majorBidi" w:hAnsiTheme="majorBidi" w:cstheme="majorBidi"/>
        </w:rPr>
        <w:t>: la crise financière internationale et se</w:t>
      </w:r>
      <w:r>
        <w:rPr>
          <w:rFonts w:asciiTheme="majorBidi" w:hAnsiTheme="majorBidi" w:cstheme="majorBidi"/>
        </w:rPr>
        <w:t>s</w:t>
      </w:r>
      <w:r w:rsidRPr="005C50A3">
        <w:rPr>
          <w:rFonts w:asciiTheme="majorBidi" w:hAnsiTheme="majorBidi" w:cstheme="majorBidi"/>
        </w:rPr>
        <w:t xml:space="preserve"> répercussions sur l’économie Algérienne, </w:t>
      </w:r>
      <w:r>
        <w:rPr>
          <w:rFonts w:asciiTheme="majorBidi" w:hAnsiTheme="majorBidi" w:cstheme="majorBidi"/>
        </w:rPr>
        <w:t xml:space="preserve">op.cit, p11. </w:t>
      </w:r>
      <w:r w:rsidRPr="005C50A3">
        <w:rPr>
          <w:rFonts w:asciiTheme="majorBidi" w:hAnsiTheme="majorBidi" w:cstheme="majorBidi"/>
        </w:rPr>
        <w:t xml:space="preserve"> </w:t>
      </w:r>
    </w:p>
  </w:footnote>
  <w:footnote w:id="50">
    <w:p w:rsidR="00205648" w:rsidRPr="005C50A3" w:rsidRDefault="00205648" w:rsidP="004E72FF">
      <w:pPr>
        <w:pStyle w:val="Style1"/>
        <w:kinsoku w:val="0"/>
        <w:autoSpaceDE/>
        <w:autoSpaceDN/>
        <w:spacing w:before="36" w:line="276" w:lineRule="auto"/>
        <w:rPr>
          <w:rFonts w:asciiTheme="majorBidi" w:hAnsiTheme="majorBidi" w:cstheme="majorBidi"/>
          <w:spacing w:val="-12"/>
          <w:sz w:val="20"/>
          <w:szCs w:val="20"/>
          <w:lang w:bidi="ar-DZ"/>
        </w:rPr>
      </w:pPr>
      <w:r w:rsidRPr="005C50A3">
        <w:rPr>
          <w:rStyle w:val="Appelnotedebasdep"/>
          <w:rFonts w:asciiTheme="majorBidi" w:eastAsiaTheme="majorEastAsia" w:hAnsiTheme="majorBidi"/>
          <w:sz w:val="20"/>
          <w:szCs w:val="20"/>
        </w:rPr>
        <w:footnoteRef/>
      </w:r>
      <w:r w:rsidRPr="005C50A3">
        <w:rPr>
          <w:rFonts w:asciiTheme="majorBidi" w:hAnsiTheme="majorBidi" w:cstheme="majorBidi"/>
          <w:sz w:val="20"/>
          <w:szCs w:val="20"/>
        </w:rPr>
        <w:t xml:space="preserve"> Mourad Benachenhou : le bateau algérien vogue sue l’océan de l’économie mondiale, le Quotidien d’Oran, 28 septembre 2008, p5.</w:t>
      </w:r>
    </w:p>
  </w:footnote>
  <w:footnote w:id="51">
    <w:p w:rsidR="00205648" w:rsidRPr="001C1834" w:rsidRDefault="00205648" w:rsidP="00B35CF7">
      <w:pPr>
        <w:tabs>
          <w:tab w:val="right" w:pos="567"/>
          <w:tab w:val="left" w:pos="8505"/>
        </w:tabs>
        <w:spacing w:after="0"/>
        <w:jc w:val="both"/>
        <w:rPr>
          <w:rFonts w:asciiTheme="majorBidi" w:hAnsiTheme="majorBidi" w:cstheme="majorBidi"/>
          <w:sz w:val="20"/>
          <w:szCs w:val="20"/>
          <w:rtl/>
          <w:lang w:bidi="ar-DZ"/>
        </w:rPr>
      </w:pPr>
      <w:r w:rsidRPr="00BA5143">
        <w:rPr>
          <w:rStyle w:val="Appelnotedebasdep"/>
          <w:rFonts w:asciiTheme="majorBidi" w:hAnsiTheme="majorBidi"/>
          <w:sz w:val="20"/>
          <w:szCs w:val="20"/>
        </w:rPr>
        <w:footnoteRef/>
      </w:r>
      <w:r w:rsidRPr="00BA5143">
        <w:rPr>
          <w:rFonts w:asciiTheme="majorBidi" w:hAnsiTheme="majorBidi" w:cstheme="majorBidi"/>
          <w:sz w:val="20"/>
          <w:szCs w:val="20"/>
        </w:rPr>
        <w:t xml:space="preserve"> </w:t>
      </w:r>
      <w:r>
        <w:rPr>
          <w:rFonts w:asciiTheme="majorBidi" w:hAnsiTheme="majorBidi" w:cstheme="majorBidi"/>
          <w:sz w:val="20"/>
          <w:szCs w:val="20"/>
          <w:lang w:bidi="ar-DZ"/>
        </w:rPr>
        <w:t>M</w:t>
      </w:r>
      <w:r w:rsidRPr="00BA5143">
        <w:rPr>
          <w:rFonts w:asciiTheme="majorBidi" w:hAnsiTheme="majorBidi" w:cstheme="majorBidi"/>
          <w:sz w:val="20"/>
          <w:szCs w:val="20"/>
          <w:lang w:bidi="ar-DZ"/>
        </w:rPr>
        <w:t>inistère des finances, direction générale des douanes,</w:t>
      </w:r>
      <w:r>
        <w:rPr>
          <w:rFonts w:asciiTheme="majorBidi" w:hAnsiTheme="majorBidi" w:cstheme="majorBidi"/>
          <w:sz w:val="20"/>
          <w:szCs w:val="20"/>
          <w:lang w:bidi="ar-DZ"/>
        </w:rPr>
        <w:t xml:space="preserve"> centre national de l’information et des statistiques,</w:t>
      </w:r>
      <w:r w:rsidRPr="00BA5143">
        <w:rPr>
          <w:rFonts w:asciiTheme="majorBidi" w:hAnsiTheme="majorBidi" w:cstheme="majorBidi"/>
          <w:sz w:val="20"/>
          <w:szCs w:val="20"/>
          <w:lang w:bidi="ar-DZ"/>
        </w:rPr>
        <w:t xml:space="preserve"> statistiques du commerce extérieur de l’Algérie, 2008, p</w:t>
      </w:r>
      <w:r>
        <w:rPr>
          <w:rFonts w:asciiTheme="majorBidi" w:hAnsiTheme="majorBidi" w:cstheme="majorBidi"/>
          <w:sz w:val="20"/>
          <w:szCs w:val="20"/>
          <w:lang w:bidi="ar-DZ"/>
        </w:rPr>
        <w:t xml:space="preserve"> </w:t>
      </w:r>
      <w:r w:rsidRPr="00BA5143">
        <w:rPr>
          <w:rFonts w:asciiTheme="majorBidi" w:hAnsiTheme="majorBidi" w:cstheme="majorBidi"/>
          <w:sz w:val="20"/>
          <w:szCs w:val="20"/>
          <w:lang w:bidi="ar-DZ"/>
        </w:rPr>
        <w:t>1</w:t>
      </w:r>
      <w:r w:rsidRPr="00BA5143">
        <w:rPr>
          <w:rFonts w:asciiTheme="majorBidi" w:hAnsiTheme="majorBidi" w:cstheme="majorBidi"/>
          <w:sz w:val="20"/>
          <w:szCs w:val="20"/>
          <w:rtl/>
          <w:lang w:bidi="ar-DZ"/>
        </w:rPr>
        <w:t>1</w:t>
      </w:r>
      <w:r w:rsidRPr="00BA5143">
        <w:rPr>
          <w:rFonts w:asciiTheme="majorBidi" w:hAnsiTheme="majorBidi" w:cstheme="majorBidi"/>
          <w:sz w:val="20"/>
          <w:szCs w:val="20"/>
          <w:lang w:bidi="ar-DZ"/>
        </w:rPr>
        <w:t>.</w:t>
      </w:r>
    </w:p>
  </w:footnote>
  <w:footnote w:id="52">
    <w:p w:rsidR="00205648" w:rsidRPr="00154416" w:rsidRDefault="00205648" w:rsidP="00CF1A2F">
      <w:pPr>
        <w:pStyle w:val="Notedebasdepage"/>
        <w:jc w:val="both"/>
        <w:rPr>
          <w:rFonts w:asciiTheme="majorBidi" w:hAnsiTheme="majorBidi" w:cstheme="majorBidi"/>
          <w:lang w:bidi="ar-DZ"/>
        </w:rPr>
      </w:pPr>
      <w:r w:rsidRPr="00154416">
        <w:rPr>
          <w:rStyle w:val="Appelnotedebasdep"/>
          <w:rFonts w:asciiTheme="majorBidi" w:hAnsiTheme="majorBidi"/>
        </w:rPr>
        <w:footnoteRef/>
      </w:r>
      <w:r w:rsidRPr="00154416">
        <w:rPr>
          <w:rFonts w:asciiTheme="majorBidi" w:hAnsiTheme="majorBidi" w:cstheme="majorBidi"/>
        </w:rPr>
        <w:t xml:space="preserve"> </w:t>
      </w:r>
      <w:r w:rsidRPr="00154416">
        <w:rPr>
          <w:rFonts w:asciiTheme="majorBidi" w:hAnsiTheme="majorBidi" w:cstheme="majorBidi"/>
          <w:lang w:bidi="ar-DZ"/>
        </w:rPr>
        <w:t xml:space="preserve">Abderrahmane Mebtoul : </w:t>
      </w:r>
      <w:r w:rsidRPr="00154416">
        <w:rPr>
          <w:rFonts w:asciiTheme="majorBidi" w:hAnsiTheme="majorBidi" w:cstheme="majorBidi"/>
        </w:rPr>
        <w:t>La problématique de la dévaluation du dinar algérien, Algérie focus, disponible sur internet,</w:t>
      </w:r>
      <w:r>
        <w:rPr>
          <w:rFonts w:asciiTheme="majorBidi" w:hAnsiTheme="majorBidi" w:cstheme="majorBidi"/>
        </w:rPr>
        <w:t xml:space="preserve"> </w:t>
      </w:r>
      <w:r w:rsidRPr="00154416">
        <w:rPr>
          <w:rFonts w:asciiTheme="majorBidi" w:hAnsiTheme="majorBidi" w:cstheme="majorBidi"/>
        </w:rPr>
        <w:t>24-02-</w:t>
      </w:r>
      <w:r w:rsidR="00CF1A2F">
        <w:rPr>
          <w:rFonts w:asciiTheme="majorBidi" w:hAnsiTheme="majorBidi" w:cstheme="majorBidi"/>
        </w:rPr>
        <w:t>2010</w:t>
      </w:r>
      <w:r w:rsidRPr="00154416">
        <w:rPr>
          <w:rFonts w:asciiTheme="majorBidi" w:hAnsiTheme="majorBidi" w:cstheme="majorBidi"/>
        </w:rPr>
        <w:t>,</w:t>
      </w:r>
      <w:r>
        <w:rPr>
          <w:rFonts w:asciiTheme="majorBidi" w:hAnsiTheme="majorBidi" w:cstheme="majorBidi"/>
        </w:rPr>
        <w:t xml:space="preserve"> </w:t>
      </w:r>
      <w:hyperlink r:id="rId1" w:history="1">
        <w:r w:rsidRPr="00154416">
          <w:rPr>
            <w:rStyle w:val="Lienhypertexte"/>
            <w:rFonts w:asciiTheme="majorBidi" w:hAnsiTheme="majorBidi" w:cstheme="majorBidi"/>
          </w:rPr>
          <w:t>http://www.algerie-focus.com/2009/01/09/point-de-vue-la-problematique-de-la-devaluation-du-dinar-algerien/</w:t>
        </w:r>
      </w:hyperlink>
      <w:r w:rsidRPr="00154416">
        <w:rPr>
          <w:rFonts w:asciiTheme="majorBidi" w:hAnsiTheme="majorBidi" w:cstheme="majorBidi"/>
        </w:rPr>
        <w:t xml:space="preserve"> </w:t>
      </w:r>
    </w:p>
  </w:footnote>
  <w:footnote w:id="53">
    <w:p w:rsidR="00205648" w:rsidRPr="008A3457" w:rsidRDefault="00205648" w:rsidP="00EF46AA">
      <w:pPr>
        <w:pStyle w:val="Notedebasdepage"/>
        <w:jc w:val="both"/>
        <w:rPr>
          <w:rFonts w:asciiTheme="majorBidi" w:hAnsiTheme="majorBidi" w:cstheme="majorBidi"/>
          <w:lang w:bidi="ar-DZ"/>
        </w:rPr>
      </w:pPr>
      <w:r w:rsidRPr="008A3457">
        <w:rPr>
          <w:rStyle w:val="Appelnotedebasdep"/>
          <w:rFonts w:asciiTheme="majorBidi" w:hAnsiTheme="majorBidi"/>
        </w:rPr>
        <w:footnoteRef/>
      </w:r>
      <w:r w:rsidRPr="008A3457">
        <w:rPr>
          <w:rFonts w:asciiTheme="majorBidi" w:hAnsiTheme="majorBidi" w:cstheme="majorBidi"/>
        </w:rPr>
        <w:t xml:space="preserve"> </w:t>
      </w:r>
      <w:r>
        <w:rPr>
          <w:rFonts w:asciiTheme="majorBidi" w:hAnsiTheme="majorBidi" w:cstheme="majorBidi"/>
        </w:rPr>
        <w:t>Abderrahmane Mebtoul</w:t>
      </w:r>
      <w:r w:rsidRPr="00A30177">
        <w:rPr>
          <w:rFonts w:asciiTheme="majorBidi" w:hAnsiTheme="majorBidi" w:cstheme="majorBidi"/>
        </w:rPr>
        <w:t>: la crise financière internationale et se</w:t>
      </w:r>
      <w:r>
        <w:rPr>
          <w:rFonts w:asciiTheme="majorBidi" w:hAnsiTheme="majorBidi" w:cstheme="majorBidi"/>
        </w:rPr>
        <w:t>s</w:t>
      </w:r>
      <w:r w:rsidRPr="00A30177">
        <w:rPr>
          <w:rFonts w:asciiTheme="majorBidi" w:hAnsiTheme="majorBidi" w:cstheme="majorBidi"/>
        </w:rPr>
        <w:t xml:space="preserve"> répercuss</w:t>
      </w:r>
      <w:r>
        <w:rPr>
          <w:rFonts w:asciiTheme="majorBidi" w:hAnsiTheme="majorBidi" w:cstheme="majorBidi"/>
        </w:rPr>
        <w:t>ions sur l’économie Algérienne</w:t>
      </w:r>
      <w:r w:rsidRPr="00A30177">
        <w:rPr>
          <w:rFonts w:asciiTheme="majorBidi" w:hAnsiTheme="majorBidi" w:cstheme="majorBidi"/>
        </w:rPr>
        <w:t>,</w:t>
      </w:r>
      <w:r>
        <w:rPr>
          <w:rFonts w:asciiTheme="majorBidi" w:hAnsiTheme="majorBidi" w:cstheme="majorBidi"/>
        </w:rPr>
        <w:t xml:space="preserve"> op.cit, pp 7-8.  </w:t>
      </w:r>
    </w:p>
  </w:footnote>
  <w:footnote w:id="54">
    <w:p w:rsidR="00205648" w:rsidRPr="00690A31" w:rsidRDefault="00205648" w:rsidP="00D77134">
      <w:pPr>
        <w:pStyle w:val="Notedebasdepage"/>
        <w:bidi/>
        <w:jc w:val="both"/>
        <w:rPr>
          <w:rFonts w:ascii="Traditional Arabic" w:hAnsi="Traditional Arabic" w:cs="Traditional Arabic"/>
          <w:sz w:val="24"/>
          <w:szCs w:val="24"/>
          <w:rtl/>
          <w:lang w:bidi="ar-DZ"/>
        </w:rPr>
      </w:pPr>
      <w:r w:rsidRPr="00690A31">
        <w:rPr>
          <w:rStyle w:val="Appelnotedebasdep"/>
          <w:rFonts w:ascii="Traditional Arabic" w:hAnsi="Traditional Arabic" w:cs="Traditional Arabic"/>
          <w:sz w:val="24"/>
          <w:szCs w:val="24"/>
        </w:rPr>
        <w:footnoteRef/>
      </w:r>
      <w:r w:rsidRPr="00690A31">
        <w:rPr>
          <w:rFonts w:ascii="Traditional Arabic" w:hAnsi="Traditional Arabic" w:cs="Traditional Arabic"/>
          <w:sz w:val="24"/>
          <w:szCs w:val="24"/>
          <w:rtl/>
          <w:lang w:bidi="ar-DZ"/>
        </w:rPr>
        <w:t xml:space="preserve"> اتيش ر.جوش، جوناثان د أوستري، وناتاليا تاميريزا: توقع الأزمة القادمة، مجلة التمويل والتنمية،</w:t>
      </w:r>
      <w:r w:rsidR="00D77134">
        <w:rPr>
          <w:rFonts w:ascii="Traditional Arabic" w:hAnsi="Traditional Arabic" w:cs="Traditional Arabic" w:hint="cs"/>
          <w:sz w:val="24"/>
          <w:szCs w:val="24"/>
          <w:rtl/>
          <w:lang w:bidi="ar-DZ"/>
        </w:rPr>
        <w:t xml:space="preserve"> المجلد </w:t>
      </w:r>
      <w:r w:rsidR="00D77134" w:rsidRPr="00D77134">
        <w:rPr>
          <w:rFonts w:ascii="Traditional Arabic" w:hAnsi="Traditional Arabic" w:cs="Traditional Arabic" w:hint="cs"/>
          <w:rtl/>
          <w:lang w:bidi="ar-DZ"/>
        </w:rPr>
        <w:t>46</w:t>
      </w:r>
      <w:r w:rsidR="00D77134">
        <w:rPr>
          <w:rFonts w:ascii="Traditional Arabic" w:hAnsi="Traditional Arabic" w:cs="Traditional Arabic" w:hint="cs"/>
          <w:sz w:val="24"/>
          <w:szCs w:val="24"/>
          <w:rtl/>
          <w:lang w:bidi="ar-DZ"/>
        </w:rPr>
        <w:t xml:space="preserve">، العدد </w:t>
      </w:r>
      <w:r w:rsidR="00D77134" w:rsidRPr="00D77134">
        <w:rPr>
          <w:rFonts w:ascii="Traditional Arabic" w:hAnsi="Traditional Arabic" w:cs="Traditional Arabic" w:hint="cs"/>
          <w:rtl/>
          <w:lang w:bidi="ar-DZ"/>
        </w:rPr>
        <w:t>3</w:t>
      </w:r>
      <w:r w:rsidR="00D77134">
        <w:rPr>
          <w:rFonts w:ascii="Traditional Arabic" w:hAnsi="Traditional Arabic" w:cs="Traditional Arabic" w:hint="cs"/>
          <w:sz w:val="24"/>
          <w:szCs w:val="24"/>
          <w:rtl/>
          <w:lang w:bidi="ar-DZ"/>
        </w:rPr>
        <w:t>،</w:t>
      </w:r>
      <w:r w:rsidR="00D77134">
        <w:rPr>
          <w:rFonts w:ascii="Traditional Arabic" w:hAnsi="Traditional Arabic" w:cs="Traditional Arabic"/>
          <w:sz w:val="24"/>
          <w:szCs w:val="24"/>
          <w:rtl/>
          <w:lang w:bidi="ar-DZ"/>
        </w:rPr>
        <w:t xml:space="preserve"> صندوق النقد الدولي</w:t>
      </w:r>
      <w:r w:rsidRPr="00690A31">
        <w:rPr>
          <w:rFonts w:ascii="Traditional Arabic" w:hAnsi="Traditional Arabic" w:cs="Traditional Arabic"/>
          <w:sz w:val="24"/>
          <w:szCs w:val="24"/>
          <w:rtl/>
          <w:lang w:bidi="ar-DZ"/>
        </w:rPr>
        <w:t xml:space="preserve">، سبتمبر </w:t>
      </w:r>
      <w:r w:rsidRPr="00690A31">
        <w:rPr>
          <w:rFonts w:ascii="Traditional Arabic" w:hAnsi="Traditional Arabic" w:cs="Traditional Arabic"/>
          <w:rtl/>
          <w:lang w:bidi="ar-DZ"/>
        </w:rPr>
        <w:t>2009</w:t>
      </w:r>
      <w:r w:rsidRPr="00690A31">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ص ص</w:t>
      </w:r>
      <w:r w:rsidRPr="00690A31">
        <w:rPr>
          <w:rFonts w:ascii="Traditional Arabic" w:hAnsi="Traditional Arabic" w:cs="Traditional Arabic"/>
          <w:sz w:val="24"/>
          <w:szCs w:val="24"/>
          <w:rtl/>
          <w:lang w:bidi="ar-DZ"/>
        </w:rPr>
        <w:t xml:space="preserve"> </w:t>
      </w:r>
      <w:r w:rsidRPr="00690A31">
        <w:rPr>
          <w:rFonts w:ascii="Traditional Arabic" w:hAnsi="Traditional Arabic" w:cs="Traditional Arabic"/>
          <w:rtl/>
          <w:lang w:bidi="ar-DZ"/>
        </w:rPr>
        <w:t>35-37</w:t>
      </w:r>
      <w:r w:rsidRPr="00690A31">
        <w:rPr>
          <w:rFonts w:ascii="Traditional Arabic" w:hAnsi="Traditional Arabic" w:cs="Traditional Arabic"/>
          <w:sz w:val="24"/>
          <w:szCs w:val="24"/>
          <w:rtl/>
          <w:lang w:bidi="ar-DZ"/>
        </w:rPr>
        <w:t>.</w:t>
      </w:r>
      <w:r w:rsidR="00D77134">
        <w:rPr>
          <w:rFonts w:ascii="Traditional Arabic" w:hAnsi="Traditional Arabic" w:cs="Traditional Arabic" w:hint="cs"/>
          <w:sz w:val="24"/>
          <w:szCs w:val="24"/>
          <w:rtl/>
          <w:lang w:bidi="ar-DZ"/>
        </w:rPr>
        <w:t xml:space="preserve">  </w:t>
      </w:r>
    </w:p>
  </w:footnote>
  <w:footnote w:id="55">
    <w:p w:rsidR="00205648" w:rsidRPr="00B3139E" w:rsidRDefault="00205648" w:rsidP="0085524B">
      <w:pPr>
        <w:bidi/>
        <w:spacing w:after="0" w:line="240" w:lineRule="auto"/>
        <w:jc w:val="both"/>
        <w:rPr>
          <w:rtl/>
        </w:rPr>
      </w:pPr>
      <w:r w:rsidRPr="00D15111">
        <w:rPr>
          <w:rStyle w:val="Appelnotedebasdep"/>
          <w:rFonts w:ascii="Traditional Arabic" w:hAnsi="Traditional Arabic" w:cs="Traditional Arabic"/>
          <w:sz w:val="24"/>
          <w:szCs w:val="24"/>
        </w:rPr>
        <w:footnoteRef/>
      </w:r>
      <w:r w:rsidRPr="00D15111">
        <w:rPr>
          <w:rFonts w:ascii="Traditional Arabic" w:hAnsi="Traditional Arabic" w:cs="Traditional Arabic"/>
          <w:sz w:val="24"/>
          <w:szCs w:val="24"/>
          <w:rtl/>
          <w:lang w:bidi="ar-DZ"/>
        </w:rPr>
        <w:t xml:space="preserve"> عبد الحكيم</w:t>
      </w:r>
      <w:r w:rsidRPr="00CF3B25">
        <w:rPr>
          <w:rFonts w:ascii="Traditional Arabic" w:hAnsi="Traditional Arabic" w:cs="Traditional Arabic"/>
          <w:sz w:val="24"/>
          <w:szCs w:val="24"/>
          <w:rtl/>
          <w:lang w:bidi="ar-DZ"/>
        </w:rPr>
        <w:t xml:space="preserve"> مصطفى الشرقاوي: </w:t>
      </w:r>
      <w:r>
        <w:rPr>
          <w:rFonts w:ascii="Traditional Arabic" w:hAnsi="Traditional Arabic" w:cs="Traditional Arabic" w:hint="cs"/>
          <w:sz w:val="24"/>
          <w:szCs w:val="24"/>
          <w:rtl/>
          <w:lang w:bidi="ar-DZ"/>
        </w:rPr>
        <w:t>مرجع سابق</w:t>
      </w:r>
      <w:r w:rsidRPr="00CF3B25">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ص</w:t>
      </w:r>
      <w:r w:rsidRPr="00CF3B25">
        <w:rPr>
          <w:rFonts w:ascii="Traditional Arabic" w:hAnsi="Traditional Arabic" w:cs="Traditional Arabic"/>
          <w:sz w:val="24"/>
          <w:szCs w:val="24"/>
          <w:rtl/>
          <w:lang w:bidi="ar-DZ"/>
        </w:rPr>
        <w:t xml:space="preserve"> </w:t>
      </w:r>
      <w:r>
        <w:rPr>
          <w:rFonts w:ascii="Traditional Arabic" w:hAnsi="Traditional Arabic" w:cs="Traditional Arabic" w:hint="cs"/>
          <w:sz w:val="20"/>
          <w:szCs w:val="20"/>
          <w:rtl/>
          <w:lang w:bidi="ar-DZ"/>
        </w:rPr>
        <w:t>38</w:t>
      </w:r>
      <w:r>
        <w:rPr>
          <w:rFonts w:ascii="Traditional Arabic" w:hAnsi="Traditional Arabic" w:cs="Traditional Arabic" w:hint="cs"/>
          <w:sz w:val="24"/>
          <w:szCs w:val="24"/>
          <w:rtl/>
          <w:lang w:bidi="ar-DZ"/>
        </w:rPr>
        <w:t xml:space="preserve">.   </w:t>
      </w:r>
    </w:p>
  </w:footnote>
  <w:footnote w:id="56">
    <w:p w:rsidR="00205648" w:rsidRPr="00B620FE" w:rsidRDefault="00205648" w:rsidP="003E2A9E">
      <w:pPr>
        <w:pStyle w:val="Notedebasdepage"/>
        <w:bidi/>
        <w:jc w:val="both"/>
        <w:rPr>
          <w:rFonts w:ascii="Traditional Arabic" w:hAnsi="Traditional Arabic" w:cs="Traditional Arabic"/>
          <w:sz w:val="24"/>
          <w:szCs w:val="24"/>
          <w:rtl/>
          <w:lang w:bidi="ar-DZ"/>
        </w:rPr>
      </w:pPr>
      <w:r w:rsidRPr="00B620FE">
        <w:rPr>
          <w:rStyle w:val="Appelnotedebasdep"/>
          <w:rFonts w:ascii="Traditional Arabic" w:hAnsi="Traditional Arabic" w:cs="Traditional Arabic"/>
          <w:sz w:val="24"/>
          <w:szCs w:val="24"/>
        </w:rPr>
        <w:footnoteRef/>
      </w:r>
      <w:r w:rsidRPr="00B620FE">
        <w:rPr>
          <w:rFonts w:ascii="Traditional Arabic" w:hAnsi="Traditional Arabic" w:cs="Traditional Arabic"/>
          <w:sz w:val="24"/>
          <w:szCs w:val="24"/>
          <w:rtl/>
          <w:lang w:bidi="ar-DZ"/>
        </w:rPr>
        <w:t xml:space="preserve"> نشرة صندوق النقد الدولي: الصندوق يجري إصلاحا شاملا لنظام الإقراض الحالي من أجل مساعدة بلدانه الأعضاء على تج</w:t>
      </w:r>
      <w:r>
        <w:rPr>
          <w:rFonts w:ascii="Traditional Arabic" w:hAnsi="Traditional Arabic" w:cs="Traditional Arabic" w:hint="cs"/>
          <w:sz w:val="24"/>
          <w:szCs w:val="24"/>
          <w:rtl/>
          <w:lang w:bidi="ar-DZ"/>
        </w:rPr>
        <w:t>ا</w:t>
      </w:r>
      <w:r w:rsidRPr="00B620FE">
        <w:rPr>
          <w:rFonts w:ascii="Traditional Arabic" w:hAnsi="Traditional Arabic" w:cs="Traditional Arabic"/>
          <w:sz w:val="24"/>
          <w:szCs w:val="24"/>
          <w:rtl/>
          <w:lang w:bidi="ar-DZ"/>
        </w:rPr>
        <w:t xml:space="preserve">وز الأزمة، </w:t>
      </w:r>
      <w:r w:rsidRPr="00B620FE">
        <w:rPr>
          <w:rFonts w:ascii="Traditional Arabic" w:hAnsi="Traditional Arabic" w:cs="Traditional Arabic"/>
          <w:rtl/>
          <w:lang w:bidi="ar-DZ"/>
        </w:rPr>
        <w:t xml:space="preserve">24 </w:t>
      </w:r>
      <w:r w:rsidRPr="00B620FE">
        <w:rPr>
          <w:rFonts w:ascii="Traditional Arabic" w:hAnsi="Traditional Arabic" w:cs="Traditional Arabic"/>
          <w:sz w:val="24"/>
          <w:szCs w:val="24"/>
          <w:rtl/>
          <w:lang w:bidi="ar-DZ"/>
        </w:rPr>
        <w:t xml:space="preserve">مارس </w:t>
      </w:r>
      <w:r w:rsidRPr="00B620FE">
        <w:rPr>
          <w:rFonts w:ascii="Traditional Arabic" w:hAnsi="Traditional Arabic" w:cs="Traditional Arabic"/>
          <w:rtl/>
          <w:lang w:bidi="ar-DZ"/>
        </w:rPr>
        <w:t>2009</w:t>
      </w:r>
      <w:r w:rsidRPr="00B620FE">
        <w:rPr>
          <w:rFonts w:ascii="Traditional Arabic" w:hAnsi="Traditional Arabic" w:cs="Traditional Arabic"/>
          <w:sz w:val="24"/>
          <w:szCs w:val="24"/>
          <w:rtl/>
          <w:lang w:bidi="ar-DZ"/>
        </w:rPr>
        <w:t xml:space="preserve">، ص ص </w:t>
      </w:r>
      <w:r w:rsidRPr="00B620FE">
        <w:rPr>
          <w:rFonts w:ascii="Traditional Arabic" w:hAnsi="Traditional Arabic" w:cs="Traditional Arabic"/>
          <w:rtl/>
          <w:lang w:bidi="ar-DZ"/>
        </w:rPr>
        <w:t>3-4</w:t>
      </w:r>
      <w:r w:rsidRPr="00B620FE">
        <w:rPr>
          <w:rFonts w:ascii="Traditional Arabic" w:hAnsi="Traditional Arabic" w:cs="Traditional Arabic"/>
          <w:sz w:val="24"/>
          <w:szCs w:val="24"/>
          <w:rtl/>
          <w:lang w:bidi="ar-DZ"/>
        </w:rPr>
        <w:t xml:space="preserve">. </w:t>
      </w:r>
    </w:p>
  </w:footnote>
  <w:footnote w:id="57">
    <w:p w:rsidR="00205648" w:rsidRPr="00DA2FCD" w:rsidRDefault="00205648" w:rsidP="003E2A9E">
      <w:pPr>
        <w:pStyle w:val="Notedebasdepage"/>
        <w:bidi/>
        <w:jc w:val="both"/>
        <w:rPr>
          <w:rFonts w:ascii="Traditional Arabic" w:hAnsi="Traditional Arabic" w:cs="Traditional Arabic"/>
          <w:sz w:val="24"/>
          <w:szCs w:val="24"/>
          <w:rtl/>
          <w:lang w:bidi="ar-DZ"/>
        </w:rPr>
      </w:pPr>
      <w:r w:rsidRPr="00DA2FCD">
        <w:rPr>
          <w:rStyle w:val="Appelnotedebasdep"/>
          <w:rFonts w:ascii="Traditional Arabic" w:hAnsi="Traditional Arabic" w:cs="Traditional Arabic"/>
          <w:sz w:val="24"/>
          <w:szCs w:val="24"/>
        </w:rPr>
        <w:footnoteRef/>
      </w:r>
      <w:r w:rsidRPr="00DA2FCD">
        <w:rPr>
          <w:rFonts w:ascii="Traditional Arabic" w:hAnsi="Traditional Arabic" w:cs="Traditional Arabic"/>
          <w:sz w:val="24"/>
          <w:szCs w:val="24"/>
          <w:rtl/>
          <w:lang w:bidi="ar-DZ"/>
        </w:rPr>
        <w:t xml:space="preserve"> صندوق النقد الدولي</w:t>
      </w:r>
      <w:r>
        <w:rPr>
          <w:rFonts w:ascii="Traditional Arabic" w:hAnsi="Traditional Arabic" w:cs="Traditional Arabic" w:hint="cs"/>
          <w:rtl/>
          <w:lang w:bidi="ar-DZ"/>
        </w:rPr>
        <w:t xml:space="preserve">: </w:t>
      </w:r>
      <w:r w:rsidRPr="00DA2FCD">
        <w:rPr>
          <w:rFonts w:ascii="Traditional Arabic" w:hAnsi="Traditional Arabic" w:cs="Traditional Arabic"/>
          <w:sz w:val="24"/>
          <w:szCs w:val="24"/>
          <w:rtl/>
          <w:lang w:bidi="ar-DZ"/>
        </w:rPr>
        <w:t>صندوق النقد الدولي يعتمد إطارا لإصدار السندات للقطاع الرسمي،</w:t>
      </w:r>
      <w:r w:rsidRPr="006B6DBC">
        <w:rPr>
          <w:rFonts w:ascii="Traditional Arabic" w:hAnsi="Traditional Arabic" w:cs="Traditional Arabic"/>
          <w:sz w:val="24"/>
          <w:szCs w:val="24"/>
          <w:rtl/>
          <w:lang w:bidi="ar-DZ"/>
        </w:rPr>
        <w:t xml:space="preserve"> </w:t>
      </w:r>
      <w:r w:rsidRPr="00DA2FCD">
        <w:rPr>
          <w:rFonts w:ascii="Traditional Arabic" w:hAnsi="Traditional Arabic" w:cs="Traditional Arabic"/>
          <w:sz w:val="24"/>
          <w:szCs w:val="24"/>
          <w:rtl/>
          <w:lang w:bidi="ar-DZ"/>
        </w:rPr>
        <w:t xml:space="preserve">بيان صحفي رقم </w:t>
      </w:r>
      <w:r w:rsidRPr="00DA2FCD">
        <w:rPr>
          <w:rFonts w:ascii="Traditional Arabic" w:hAnsi="Traditional Arabic" w:cs="Traditional Arabic"/>
          <w:rtl/>
          <w:lang w:bidi="ar-DZ"/>
        </w:rPr>
        <w:t>248/09</w:t>
      </w:r>
      <w:r>
        <w:rPr>
          <w:rFonts w:ascii="Traditional Arabic" w:hAnsi="Traditional Arabic" w:cs="Traditional Arabic" w:hint="cs"/>
          <w:rtl/>
          <w:lang w:bidi="ar-DZ"/>
        </w:rPr>
        <w:t>،</w:t>
      </w:r>
      <w:r w:rsidRPr="00DA2FCD">
        <w:rPr>
          <w:rFonts w:ascii="Traditional Arabic" w:hAnsi="Traditional Arabic" w:cs="Traditional Arabic"/>
          <w:sz w:val="24"/>
          <w:szCs w:val="24"/>
          <w:rtl/>
          <w:lang w:bidi="ar-DZ"/>
        </w:rPr>
        <w:t xml:space="preserve"> </w:t>
      </w:r>
      <w:r w:rsidRPr="00DA2FCD">
        <w:rPr>
          <w:rFonts w:ascii="Traditional Arabic" w:hAnsi="Traditional Arabic" w:cs="Traditional Arabic"/>
          <w:rtl/>
          <w:lang w:bidi="ar-DZ"/>
        </w:rPr>
        <w:t>1</w:t>
      </w:r>
      <w:r w:rsidRPr="00DA2FCD">
        <w:rPr>
          <w:rFonts w:ascii="Traditional Arabic" w:hAnsi="Traditional Arabic" w:cs="Traditional Arabic"/>
          <w:sz w:val="24"/>
          <w:szCs w:val="24"/>
          <w:rtl/>
          <w:lang w:bidi="ar-DZ"/>
        </w:rPr>
        <w:t xml:space="preserve">جويلية </w:t>
      </w:r>
      <w:r w:rsidRPr="00DA2FCD">
        <w:rPr>
          <w:rFonts w:ascii="Traditional Arabic" w:hAnsi="Traditional Arabic" w:cs="Traditional Arabic"/>
          <w:rtl/>
          <w:lang w:bidi="ar-DZ"/>
        </w:rPr>
        <w:t>2009</w:t>
      </w:r>
      <w:r>
        <w:rPr>
          <w:rFonts w:ascii="Traditional Arabic" w:hAnsi="Traditional Arabic" w:cs="Traditional Arabic" w:hint="cs"/>
          <w:sz w:val="24"/>
          <w:szCs w:val="24"/>
          <w:rtl/>
          <w:lang w:bidi="ar-DZ"/>
        </w:rPr>
        <w:t xml:space="preserve">، ص ص </w:t>
      </w:r>
      <w:r w:rsidRPr="00D20735">
        <w:rPr>
          <w:rFonts w:ascii="Traditional Arabic" w:hAnsi="Traditional Arabic" w:cs="Traditional Arabic" w:hint="cs"/>
          <w:rtl/>
          <w:lang w:bidi="ar-DZ"/>
        </w:rPr>
        <w:t>1-2</w:t>
      </w:r>
      <w:r>
        <w:rPr>
          <w:rFonts w:ascii="Traditional Arabic" w:hAnsi="Traditional Arabic" w:cs="Traditional Arabic" w:hint="cs"/>
          <w:sz w:val="24"/>
          <w:szCs w:val="24"/>
          <w:rtl/>
          <w:lang w:bidi="ar-DZ"/>
        </w:rPr>
        <w:t xml:space="preserve">. </w:t>
      </w:r>
      <w:r w:rsidRPr="00DA2FCD">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58">
    <w:p w:rsidR="00205648" w:rsidRPr="00816395" w:rsidRDefault="00205648" w:rsidP="000B35A2">
      <w:pPr>
        <w:pStyle w:val="Notedebasdepage"/>
        <w:bidi/>
        <w:jc w:val="both"/>
        <w:rPr>
          <w:rFonts w:ascii="Traditional Arabic" w:hAnsi="Traditional Arabic" w:cs="Traditional Arabic"/>
          <w:rtl/>
          <w:lang w:bidi="ar-DZ"/>
        </w:rPr>
      </w:pPr>
      <w:r w:rsidRPr="00816395">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صندوق النقد الدولي: </w:t>
      </w:r>
      <w:r>
        <w:rPr>
          <w:rFonts w:ascii="Traditional Arabic" w:hAnsi="Traditional Arabic" w:cs="Traditional Arabic" w:hint="cs"/>
          <w:sz w:val="24"/>
          <w:szCs w:val="24"/>
          <w:rtl/>
          <w:lang w:bidi="ar-DZ"/>
        </w:rPr>
        <w:t xml:space="preserve">المجلس التنفيذي لصندوق النقد الدولي يؤيد تخصيص حقوق السحب الخاصة بقيمة </w:t>
      </w:r>
      <w:r w:rsidRPr="00A16BEE">
        <w:rPr>
          <w:rFonts w:ascii="Traditional Arabic" w:hAnsi="Traditional Arabic" w:cs="Traditional Arabic" w:hint="cs"/>
          <w:rtl/>
          <w:lang w:bidi="ar-DZ"/>
        </w:rPr>
        <w:t xml:space="preserve">250 </w:t>
      </w:r>
      <w:r>
        <w:rPr>
          <w:rFonts w:ascii="Traditional Arabic" w:hAnsi="Traditional Arabic" w:cs="Traditional Arabic" w:hint="cs"/>
          <w:sz w:val="24"/>
          <w:szCs w:val="24"/>
          <w:rtl/>
          <w:lang w:bidi="ar-DZ"/>
        </w:rPr>
        <w:t xml:space="preserve">مليار دولار لتعزيز السيولة العالمية، بيان صحفي رقم </w:t>
      </w:r>
      <w:r w:rsidRPr="000B35A2">
        <w:rPr>
          <w:rFonts w:ascii="Traditional Arabic" w:hAnsi="Traditional Arabic" w:cs="Traditional Arabic" w:hint="cs"/>
          <w:rtl/>
          <w:lang w:bidi="ar-DZ"/>
        </w:rPr>
        <w:t>264/09</w:t>
      </w:r>
      <w:r>
        <w:rPr>
          <w:rFonts w:ascii="Traditional Arabic" w:hAnsi="Traditional Arabic" w:cs="Traditional Arabic" w:hint="cs"/>
          <w:sz w:val="24"/>
          <w:szCs w:val="24"/>
          <w:rtl/>
          <w:lang w:bidi="ar-DZ"/>
        </w:rPr>
        <w:t xml:space="preserve">، </w:t>
      </w:r>
      <w:r w:rsidRPr="000B35A2">
        <w:rPr>
          <w:rFonts w:ascii="Traditional Arabic" w:hAnsi="Traditional Arabic" w:cs="Traditional Arabic" w:hint="cs"/>
          <w:rtl/>
          <w:lang w:bidi="ar-DZ"/>
        </w:rPr>
        <w:t xml:space="preserve">20 </w:t>
      </w:r>
      <w:r>
        <w:rPr>
          <w:rFonts w:ascii="Traditional Arabic" w:hAnsi="Traditional Arabic" w:cs="Traditional Arabic" w:hint="cs"/>
          <w:sz w:val="24"/>
          <w:szCs w:val="24"/>
          <w:rtl/>
          <w:lang w:bidi="ar-DZ"/>
        </w:rPr>
        <w:t xml:space="preserve">جويلية </w:t>
      </w:r>
      <w:r w:rsidRPr="000B35A2">
        <w:rPr>
          <w:rFonts w:ascii="Traditional Arabic" w:hAnsi="Traditional Arabic" w:cs="Traditional Arabic" w:hint="cs"/>
          <w:rtl/>
          <w:lang w:bidi="ar-DZ"/>
        </w:rPr>
        <w:t>2009</w:t>
      </w:r>
      <w:r>
        <w:rPr>
          <w:rFonts w:ascii="Traditional Arabic" w:hAnsi="Traditional Arabic" w:cs="Traditional Arabic" w:hint="cs"/>
          <w:sz w:val="24"/>
          <w:szCs w:val="24"/>
          <w:rtl/>
          <w:lang w:bidi="ar-DZ"/>
        </w:rPr>
        <w:t xml:space="preserve">، ص </w:t>
      </w:r>
      <w:r w:rsidRPr="00733BF7">
        <w:rPr>
          <w:rFonts w:ascii="Traditional Arabic" w:hAnsi="Traditional Arabic" w:cs="Traditional Arabic" w:hint="cs"/>
          <w:rtl/>
          <w:lang w:bidi="ar-DZ"/>
        </w:rPr>
        <w:t>1</w:t>
      </w:r>
      <w:r>
        <w:rPr>
          <w:rFonts w:ascii="Traditional Arabic" w:hAnsi="Traditional Arabic" w:cs="Traditional Arabic" w:hint="cs"/>
          <w:sz w:val="24"/>
          <w:szCs w:val="24"/>
          <w:rtl/>
          <w:lang w:bidi="ar-DZ"/>
        </w:rPr>
        <w:t xml:space="preserve">.    </w:t>
      </w:r>
    </w:p>
  </w:footnote>
  <w:footnote w:id="59">
    <w:p w:rsidR="00205648" w:rsidRPr="00DA2FCD" w:rsidRDefault="00205648" w:rsidP="003E2A9E">
      <w:pPr>
        <w:pStyle w:val="Notedebasdepage"/>
        <w:bidi/>
        <w:jc w:val="both"/>
        <w:rPr>
          <w:rFonts w:ascii="Traditional Arabic" w:hAnsi="Traditional Arabic" w:cs="Traditional Arabic"/>
          <w:sz w:val="24"/>
          <w:szCs w:val="24"/>
          <w:rtl/>
          <w:lang w:bidi="ar-DZ"/>
        </w:rPr>
      </w:pPr>
      <w:r w:rsidRPr="00DA2FCD">
        <w:rPr>
          <w:rStyle w:val="Appelnotedebasdep"/>
          <w:rFonts w:ascii="Traditional Arabic" w:hAnsi="Traditional Arabic" w:cs="Traditional Arabic"/>
          <w:sz w:val="24"/>
          <w:szCs w:val="24"/>
        </w:rPr>
        <w:footnoteRef/>
      </w:r>
      <w:r w:rsidRPr="00DA2FCD">
        <w:rPr>
          <w:rFonts w:ascii="Traditional Arabic" w:hAnsi="Traditional Arabic" w:cs="Traditional Arabic"/>
          <w:sz w:val="24"/>
          <w:szCs w:val="24"/>
          <w:rtl/>
          <w:lang w:bidi="ar-DZ"/>
        </w:rPr>
        <w:t xml:space="preserve"> صندوق النقد الدولي</w:t>
      </w:r>
      <w:r>
        <w:rPr>
          <w:rFonts w:ascii="Traditional Arabic" w:hAnsi="Traditional Arabic" w:cs="Traditional Arabic" w:hint="cs"/>
          <w:rtl/>
          <w:lang w:bidi="ar-DZ"/>
        </w:rPr>
        <w:t xml:space="preserve">: </w:t>
      </w:r>
      <w:r>
        <w:rPr>
          <w:rFonts w:ascii="Traditional Arabic" w:hAnsi="Traditional Arabic" w:cs="Traditional Arabic" w:hint="cs"/>
          <w:sz w:val="24"/>
          <w:szCs w:val="24"/>
          <w:rtl/>
          <w:lang w:bidi="ar-DZ"/>
        </w:rPr>
        <w:t xml:space="preserve">محافظو صندوق النقد الدولي يوافقون رسميا على تخصيص حقوق سحب خاصة بقيمة </w:t>
      </w:r>
      <w:r w:rsidRPr="006D328E">
        <w:rPr>
          <w:rFonts w:ascii="Traditional Arabic" w:hAnsi="Traditional Arabic" w:cs="Traditional Arabic" w:hint="cs"/>
          <w:rtl/>
          <w:lang w:bidi="ar-DZ"/>
        </w:rPr>
        <w:t xml:space="preserve">250 </w:t>
      </w:r>
      <w:r>
        <w:rPr>
          <w:rFonts w:ascii="Traditional Arabic" w:hAnsi="Traditional Arabic" w:cs="Traditional Arabic" w:hint="cs"/>
          <w:sz w:val="24"/>
          <w:szCs w:val="24"/>
          <w:rtl/>
          <w:lang w:bidi="ar-DZ"/>
        </w:rPr>
        <w:t>مليار دولار،</w:t>
      </w:r>
      <w:r w:rsidRPr="00EA4E18">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بيان صحفي رقم </w:t>
      </w:r>
      <w:r w:rsidRPr="006D328E">
        <w:rPr>
          <w:rFonts w:ascii="Traditional Arabic" w:hAnsi="Traditional Arabic" w:cs="Traditional Arabic" w:hint="cs"/>
          <w:rtl/>
          <w:lang w:bidi="ar-DZ"/>
        </w:rPr>
        <w:t>2</w:t>
      </w:r>
      <w:r>
        <w:rPr>
          <w:rFonts w:ascii="Traditional Arabic" w:hAnsi="Traditional Arabic" w:cs="Traditional Arabic" w:hint="cs"/>
          <w:rtl/>
          <w:lang w:bidi="ar-DZ"/>
        </w:rPr>
        <w:t>83</w:t>
      </w:r>
      <w:r w:rsidRPr="006D328E">
        <w:rPr>
          <w:rFonts w:ascii="Traditional Arabic" w:hAnsi="Traditional Arabic" w:cs="Traditional Arabic" w:hint="cs"/>
          <w:rtl/>
          <w:lang w:bidi="ar-DZ"/>
        </w:rPr>
        <w:t>/09</w:t>
      </w:r>
      <w:r>
        <w:rPr>
          <w:rFonts w:ascii="Traditional Arabic" w:hAnsi="Traditional Arabic" w:cs="Traditional Arabic" w:hint="cs"/>
          <w:rtl/>
          <w:lang w:bidi="ar-DZ"/>
        </w:rPr>
        <w:t>،</w:t>
      </w:r>
      <w:r>
        <w:rPr>
          <w:rFonts w:ascii="Traditional Arabic" w:hAnsi="Traditional Arabic" w:cs="Traditional Arabic" w:hint="cs"/>
          <w:sz w:val="24"/>
          <w:szCs w:val="24"/>
          <w:rtl/>
          <w:lang w:bidi="ar-DZ"/>
        </w:rPr>
        <w:t xml:space="preserve"> </w:t>
      </w:r>
      <w:r w:rsidRPr="006D328E">
        <w:rPr>
          <w:rFonts w:ascii="Traditional Arabic" w:hAnsi="Traditional Arabic" w:cs="Traditional Arabic" w:hint="cs"/>
          <w:rtl/>
          <w:lang w:bidi="ar-DZ"/>
        </w:rPr>
        <w:t xml:space="preserve">13 </w:t>
      </w:r>
      <w:r>
        <w:rPr>
          <w:rFonts w:ascii="Traditional Arabic" w:hAnsi="Traditional Arabic" w:cs="Traditional Arabic" w:hint="cs"/>
          <w:sz w:val="24"/>
          <w:szCs w:val="24"/>
          <w:rtl/>
          <w:lang w:bidi="ar-DZ"/>
        </w:rPr>
        <w:t xml:space="preserve">أوت </w:t>
      </w:r>
      <w:r w:rsidRPr="006D328E">
        <w:rPr>
          <w:rFonts w:ascii="Traditional Arabic" w:hAnsi="Traditional Arabic" w:cs="Traditional Arabic" w:hint="cs"/>
          <w:rtl/>
          <w:lang w:bidi="ar-DZ"/>
        </w:rPr>
        <w:t>2009</w:t>
      </w:r>
      <w:r>
        <w:rPr>
          <w:rFonts w:ascii="Traditional Arabic" w:hAnsi="Traditional Arabic" w:cs="Traditional Arabic" w:hint="cs"/>
          <w:sz w:val="24"/>
          <w:szCs w:val="24"/>
          <w:rtl/>
          <w:lang w:bidi="ar-DZ"/>
        </w:rPr>
        <w:t xml:space="preserve">، ص ص </w:t>
      </w:r>
      <w:r w:rsidRPr="00DD3238">
        <w:rPr>
          <w:rFonts w:ascii="Traditional Arabic" w:hAnsi="Traditional Arabic" w:cs="Traditional Arabic" w:hint="cs"/>
          <w:rtl/>
          <w:lang w:bidi="ar-DZ"/>
        </w:rPr>
        <w:t>1-2</w:t>
      </w:r>
      <w:r>
        <w:rPr>
          <w:rFonts w:ascii="Traditional Arabic" w:hAnsi="Traditional Arabic" w:cs="Traditional Arabic" w:hint="cs"/>
          <w:sz w:val="24"/>
          <w:szCs w:val="24"/>
          <w:rtl/>
          <w:lang w:bidi="ar-DZ"/>
        </w:rPr>
        <w:t>.</w:t>
      </w:r>
    </w:p>
  </w:footnote>
  <w:footnote w:id="60">
    <w:p w:rsidR="00205648" w:rsidRPr="000B7A31" w:rsidRDefault="00205648" w:rsidP="009F30A9">
      <w:pPr>
        <w:pStyle w:val="Notedebasdepage"/>
        <w:bidi/>
        <w:rPr>
          <w:rFonts w:ascii="Traditional Arabic" w:hAnsi="Traditional Arabic" w:cs="Traditional Arabic"/>
          <w:sz w:val="24"/>
          <w:szCs w:val="24"/>
          <w:rtl/>
          <w:lang w:bidi="ar-DZ"/>
        </w:rPr>
      </w:pPr>
      <w:r w:rsidRPr="000B7A31">
        <w:rPr>
          <w:rStyle w:val="Appelnotedebasdep"/>
          <w:rFonts w:ascii="Traditional Arabic" w:hAnsi="Traditional Arabic" w:cs="Traditional Arabic"/>
          <w:sz w:val="24"/>
          <w:szCs w:val="24"/>
        </w:rPr>
        <w:footnoteRef/>
      </w:r>
      <w:r w:rsidRPr="000B7A31">
        <w:rPr>
          <w:rFonts w:ascii="Traditional Arabic" w:hAnsi="Traditional Arabic" w:cs="Traditional Arabic"/>
          <w:sz w:val="24"/>
          <w:szCs w:val="24"/>
          <w:rtl/>
          <w:lang w:bidi="ar-DZ"/>
        </w:rPr>
        <w:t xml:space="preserve"> جون ليبسكي: </w:t>
      </w:r>
      <w:r>
        <w:rPr>
          <w:rFonts w:ascii="Traditional Arabic" w:hAnsi="Traditional Arabic" w:cs="Traditional Arabic" w:hint="cs"/>
          <w:sz w:val="24"/>
          <w:szCs w:val="24"/>
          <w:rtl/>
          <w:lang w:bidi="ar-DZ"/>
        </w:rPr>
        <w:t>الاستعداد لعالم ما بعد الأزمة، مجلة التمويل والتنمية،</w:t>
      </w:r>
      <w:r w:rsidR="00590B44">
        <w:rPr>
          <w:rFonts w:ascii="Traditional Arabic" w:hAnsi="Traditional Arabic" w:cs="Traditional Arabic" w:hint="cs"/>
          <w:sz w:val="24"/>
          <w:szCs w:val="24"/>
          <w:rtl/>
          <w:lang w:bidi="ar-DZ"/>
        </w:rPr>
        <w:t xml:space="preserve"> المجلد </w:t>
      </w:r>
      <w:r w:rsidR="00590B44" w:rsidRPr="00590B44">
        <w:rPr>
          <w:rFonts w:ascii="Traditional Arabic" w:hAnsi="Traditional Arabic" w:cs="Traditional Arabic" w:hint="cs"/>
          <w:rtl/>
          <w:lang w:bidi="ar-DZ"/>
        </w:rPr>
        <w:t>46</w:t>
      </w:r>
      <w:r w:rsidR="00590B44">
        <w:rPr>
          <w:rFonts w:ascii="Traditional Arabic" w:hAnsi="Traditional Arabic" w:cs="Traditional Arabic" w:hint="cs"/>
          <w:sz w:val="24"/>
          <w:szCs w:val="24"/>
          <w:rtl/>
          <w:lang w:bidi="ar-DZ"/>
        </w:rPr>
        <w:t xml:space="preserve">، العدد </w:t>
      </w:r>
      <w:r w:rsidR="00590B44" w:rsidRPr="00590B44">
        <w:rPr>
          <w:rFonts w:ascii="Traditional Arabic" w:hAnsi="Traditional Arabic" w:cs="Traditional Arabic" w:hint="cs"/>
          <w:rtl/>
          <w:lang w:bidi="ar-DZ"/>
        </w:rPr>
        <w:t>2</w:t>
      </w:r>
      <w:r w:rsidR="00590B44">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صندوق النقد الدولي، جوان </w:t>
      </w:r>
      <w:r w:rsidRPr="00DA7E25">
        <w:rPr>
          <w:rFonts w:ascii="Traditional Arabic" w:hAnsi="Traditional Arabic" w:cs="Traditional Arabic" w:hint="cs"/>
          <w:rtl/>
          <w:lang w:bidi="ar-DZ"/>
        </w:rPr>
        <w:t>2009</w:t>
      </w:r>
      <w:r>
        <w:rPr>
          <w:rFonts w:ascii="Traditional Arabic" w:hAnsi="Traditional Arabic" w:cs="Traditional Arabic" w:hint="cs"/>
          <w:sz w:val="24"/>
          <w:szCs w:val="24"/>
          <w:rtl/>
          <w:lang w:bidi="ar-DZ"/>
        </w:rPr>
        <w:t xml:space="preserve">، ص </w:t>
      </w:r>
      <w:r w:rsidRPr="00DA7E25">
        <w:rPr>
          <w:rFonts w:ascii="Traditional Arabic" w:hAnsi="Traditional Arabic" w:cs="Traditional Arabic" w:hint="cs"/>
          <w:rtl/>
          <w:lang w:bidi="ar-DZ"/>
        </w:rPr>
        <w:t>31</w:t>
      </w:r>
      <w:r>
        <w:rPr>
          <w:rFonts w:ascii="Traditional Arabic" w:hAnsi="Traditional Arabic" w:cs="Traditional Arabic" w:hint="cs"/>
          <w:sz w:val="24"/>
          <w:szCs w:val="24"/>
          <w:rtl/>
          <w:lang w:bidi="ar-DZ"/>
        </w:rPr>
        <w:t xml:space="preserve">.    </w:t>
      </w:r>
    </w:p>
  </w:footnote>
  <w:footnote w:id="61">
    <w:p w:rsidR="00205648" w:rsidRPr="00021DA3" w:rsidRDefault="00205648" w:rsidP="00094D6B">
      <w:pPr>
        <w:pStyle w:val="Notedebasdepage"/>
        <w:bidi/>
        <w:jc w:val="both"/>
        <w:rPr>
          <w:rFonts w:ascii="Traditional Arabic" w:hAnsi="Traditional Arabic" w:cs="Traditional Arabic"/>
          <w:sz w:val="24"/>
          <w:szCs w:val="24"/>
          <w:rtl/>
          <w:lang w:bidi="ar-DZ"/>
        </w:rPr>
      </w:pPr>
      <w:r w:rsidRPr="00021DA3">
        <w:rPr>
          <w:rStyle w:val="Appelnotedebasdep"/>
          <w:rFonts w:ascii="Traditional Arabic" w:hAnsi="Traditional Arabic" w:cs="Traditional Arabic"/>
          <w:sz w:val="24"/>
          <w:szCs w:val="24"/>
        </w:rPr>
        <w:footnoteRef/>
      </w:r>
      <w:r w:rsidRPr="00021DA3">
        <w:rPr>
          <w:rFonts w:ascii="Traditional Arabic" w:hAnsi="Traditional Arabic" w:cs="Traditional Arabic"/>
          <w:sz w:val="24"/>
          <w:szCs w:val="24"/>
          <w:rtl/>
          <w:lang w:bidi="ar-DZ"/>
        </w:rPr>
        <w:t xml:space="preserve"> نشرة صندوق النقد الدولي</w:t>
      </w:r>
      <w:r>
        <w:rPr>
          <w:rFonts w:ascii="Traditional Arabic" w:hAnsi="Traditional Arabic" w:cs="Traditional Arabic" w:hint="cs"/>
          <w:sz w:val="24"/>
          <w:szCs w:val="24"/>
          <w:rtl/>
          <w:lang w:bidi="ar-DZ"/>
        </w:rPr>
        <w:t>:</w:t>
      </w:r>
      <w:r w:rsidRPr="00021DA3">
        <w:rPr>
          <w:rFonts w:ascii="Traditional Arabic" w:hAnsi="Traditional Arabic" w:cs="Traditional Arabic"/>
          <w:sz w:val="24"/>
          <w:szCs w:val="24"/>
          <w:rtl/>
          <w:lang w:bidi="ar-DZ"/>
        </w:rPr>
        <w:t xml:space="preserve"> المديرون التنفيذيون يؤيدون جهود الإصلاح الشامل لنظام الحصص والأصوات</w:t>
      </w:r>
      <w:r>
        <w:rPr>
          <w:rFonts w:ascii="Traditional Arabic" w:hAnsi="Traditional Arabic" w:cs="Traditional Arabic" w:hint="cs"/>
          <w:sz w:val="24"/>
          <w:szCs w:val="24"/>
          <w:rtl/>
          <w:lang w:bidi="ar-DZ"/>
        </w:rPr>
        <w:t xml:space="preserve"> في الصندوق</w:t>
      </w:r>
      <w:r w:rsidRPr="00021DA3">
        <w:rPr>
          <w:rFonts w:ascii="Traditional Arabic" w:hAnsi="Traditional Arabic" w:cs="Traditional Arabic"/>
          <w:sz w:val="24"/>
          <w:szCs w:val="24"/>
          <w:rtl/>
          <w:lang w:bidi="ar-DZ"/>
        </w:rPr>
        <w:t xml:space="preserve">، </w:t>
      </w:r>
      <w:r w:rsidRPr="00021DA3">
        <w:rPr>
          <w:rFonts w:ascii="Traditional Arabic" w:hAnsi="Traditional Arabic" w:cs="Traditional Arabic"/>
          <w:rtl/>
          <w:lang w:bidi="ar-DZ"/>
        </w:rPr>
        <w:t xml:space="preserve">28 </w:t>
      </w:r>
      <w:r w:rsidRPr="00021DA3">
        <w:rPr>
          <w:rFonts w:ascii="Traditional Arabic" w:hAnsi="Traditional Arabic" w:cs="Traditional Arabic"/>
          <w:sz w:val="24"/>
          <w:szCs w:val="24"/>
          <w:rtl/>
          <w:lang w:bidi="ar-DZ"/>
        </w:rPr>
        <w:t xml:space="preserve">مارس </w:t>
      </w:r>
      <w:r w:rsidRPr="00021DA3">
        <w:rPr>
          <w:rFonts w:ascii="Traditional Arabic" w:hAnsi="Traditional Arabic" w:cs="Traditional Arabic"/>
          <w:rtl/>
          <w:lang w:bidi="ar-DZ"/>
        </w:rPr>
        <w:t>200</w:t>
      </w:r>
      <w:r>
        <w:rPr>
          <w:rFonts w:ascii="Traditional Arabic" w:hAnsi="Traditional Arabic" w:cs="Traditional Arabic" w:hint="cs"/>
          <w:rtl/>
          <w:lang w:bidi="ar-DZ"/>
        </w:rPr>
        <w:t>8</w:t>
      </w:r>
      <w:r w:rsidRPr="00021DA3">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ص </w:t>
      </w:r>
      <w:r w:rsidRPr="006274D9">
        <w:rPr>
          <w:rFonts w:ascii="Traditional Arabic" w:hAnsi="Traditional Arabic" w:cs="Traditional Arabic"/>
          <w:sz w:val="24"/>
          <w:szCs w:val="24"/>
          <w:rtl/>
          <w:lang w:bidi="ar-DZ"/>
        </w:rPr>
        <w:t>ص</w:t>
      </w:r>
      <w:r w:rsidRPr="00DA3171">
        <w:rPr>
          <w:rFonts w:ascii="Traditional Arabic" w:hAnsi="Traditional Arabic" w:cs="Traditional Arabic" w:hint="cs"/>
          <w:rtl/>
          <w:lang w:bidi="ar-DZ"/>
        </w:rPr>
        <w:t>2</w:t>
      </w:r>
      <w:r w:rsidRPr="003B5C82">
        <w:rPr>
          <w:rFonts w:ascii="Traditional Arabic" w:hAnsi="Traditional Arabic" w:cs="Traditional Arabic" w:hint="cs"/>
          <w:rtl/>
          <w:lang w:bidi="ar-DZ"/>
        </w:rPr>
        <w:t>-4</w:t>
      </w:r>
      <w:r w:rsidRPr="00021DA3">
        <w:rPr>
          <w:rFonts w:ascii="Traditional Arabic" w:hAnsi="Traditional Arabic" w:cs="Traditional Arabic"/>
          <w:sz w:val="24"/>
          <w:szCs w:val="24"/>
          <w:rtl/>
          <w:lang w:bidi="ar-DZ"/>
        </w:rPr>
        <w:t>.</w:t>
      </w:r>
    </w:p>
  </w:footnote>
  <w:footnote w:id="62">
    <w:p w:rsidR="00205648" w:rsidRPr="001A12A9" w:rsidRDefault="00205648" w:rsidP="003E2A9E">
      <w:pPr>
        <w:pStyle w:val="Notedebasdepage"/>
        <w:bidi/>
        <w:rPr>
          <w:rFonts w:ascii="Traditional Arabic" w:hAnsi="Traditional Arabic" w:cs="Traditional Arabic"/>
          <w:sz w:val="24"/>
          <w:szCs w:val="24"/>
          <w:rtl/>
          <w:lang w:bidi="ar-DZ"/>
        </w:rPr>
      </w:pPr>
      <w:r w:rsidRPr="00EF3B89">
        <w:rPr>
          <w:rStyle w:val="Appelnotedebasdep"/>
          <w:rFonts w:ascii="Traditional Arabic" w:hAnsi="Traditional Arabic" w:cs="Traditional Arabic"/>
          <w:sz w:val="24"/>
          <w:szCs w:val="24"/>
        </w:rPr>
        <w:footnoteRef/>
      </w:r>
      <w:r w:rsidRPr="00EF3B89">
        <w:rPr>
          <w:rFonts w:ascii="Traditional Arabic" w:hAnsi="Traditional Arabic" w:cs="Traditional Arabic"/>
          <w:sz w:val="24"/>
          <w:szCs w:val="24"/>
          <w:rtl/>
          <w:lang w:bidi="ar-DZ"/>
        </w:rPr>
        <w:t xml:space="preserve"> نشرة</w:t>
      </w:r>
      <w:r w:rsidRPr="004C6F37">
        <w:rPr>
          <w:rFonts w:ascii="Traditional Arabic" w:hAnsi="Traditional Arabic" w:cs="Traditional Arabic"/>
          <w:sz w:val="24"/>
          <w:szCs w:val="24"/>
          <w:rtl/>
          <w:lang w:bidi="ar-DZ"/>
        </w:rPr>
        <w:t xml:space="preserve"> صندوق النقد الدولي، صندوق النقد الدولي يحث على إعادة النظر في كيفية إدارة المخاطر النظامية العالمية، </w:t>
      </w:r>
      <w:r w:rsidRPr="004C6F37">
        <w:rPr>
          <w:rFonts w:ascii="Traditional Arabic" w:hAnsi="Traditional Arabic" w:cs="Traditional Arabic"/>
          <w:rtl/>
          <w:lang w:bidi="ar-DZ"/>
        </w:rPr>
        <w:t xml:space="preserve">6 </w:t>
      </w:r>
      <w:r w:rsidRPr="004C6F37">
        <w:rPr>
          <w:rFonts w:ascii="Traditional Arabic" w:hAnsi="Traditional Arabic" w:cs="Traditional Arabic"/>
          <w:sz w:val="24"/>
          <w:szCs w:val="24"/>
          <w:rtl/>
          <w:lang w:bidi="ar-DZ"/>
        </w:rPr>
        <w:t xml:space="preserve">مارس </w:t>
      </w:r>
      <w:r w:rsidRPr="004C6F37">
        <w:rPr>
          <w:rFonts w:ascii="Traditional Arabic" w:hAnsi="Traditional Arabic" w:cs="Traditional Arabic"/>
          <w:rtl/>
          <w:lang w:bidi="ar-DZ"/>
        </w:rPr>
        <w:t>2009</w:t>
      </w:r>
      <w:r w:rsidRPr="004C6F37">
        <w:rPr>
          <w:rFonts w:ascii="Traditional Arabic" w:hAnsi="Traditional Arabic" w:cs="Traditional Arabic"/>
          <w:sz w:val="24"/>
          <w:szCs w:val="24"/>
          <w:rtl/>
          <w:lang w:bidi="ar-DZ"/>
        </w:rPr>
        <w:t>، ص</w:t>
      </w:r>
      <w:r w:rsidRPr="004C6F37">
        <w:rPr>
          <w:rFonts w:ascii="Traditional Arabic" w:hAnsi="Traditional Arabic" w:cs="Traditional Arabic"/>
          <w:rtl/>
          <w:lang w:bidi="ar-DZ"/>
        </w:rPr>
        <w:t>2</w:t>
      </w:r>
      <w:r w:rsidRPr="004C6F37">
        <w:rPr>
          <w:rFonts w:ascii="Traditional Arabic" w:hAnsi="Traditional Arabic" w:cs="Traditional Arabic"/>
          <w:sz w:val="24"/>
          <w:szCs w:val="24"/>
          <w:rtl/>
          <w:lang w:bidi="ar-DZ"/>
        </w:rPr>
        <w:t xml:space="preserve">. </w:t>
      </w:r>
    </w:p>
  </w:footnote>
  <w:footnote w:id="63">
    <w:p w:rsidR="00205648" w:rsidRPr="004C6F37" w:rsidRDefault="00205648" w:rsidP="003E2A9E">
      <w:pPr>
        <w:pStyle w:val="Notedebasdepage"/>
        <w:bidi/>
        <w:rPr>
          <w:rFonts w:ascii="Traditional Arabic" w:hAnsi="Traditional Arabic" w:cs="Traditional Arabic"/>
          <w:sz w:val="24"/>
          <w:szCs w:val="24"/>
          <w:rtl/>
          <w:lang w:bidi="ar-DZ"/>
        </w:rPr>
      </w:pPr>
      <w:r w:rsidRPr="004C6F37">
        <w:rPr>
          <w:rStyle w:val="Appelnotedebasdep"/>
          <w:rFonts w:ascii="Traditional Arabic" w:hAnsi="Traditional Arabic" w:cs="Traditional Arabic"/>
          <w:sz w:val="24"/>
          <w:szCs w:val="24"/>
        </w:rPr>
        <w:footnoteRef/>
      </w:r>
      <w:r w:rsidRPr="004C6F37">
        <w:rPr>
          <w:rFonts w:ascii="Traditional Arabic" w:hAnsi="Traditional Arabic" w:cs="Traditional Arabic"/>
          <w:sz w:val="24"/>
          <w:szCs w:val="24"/>
          <w:rtl/>
          <w:lang w:bidi="ar-DZ"/>
        </w:rPr>
        <w:t xml:space="preserve"> نشرة صندوق النقد الدولي، صندوق النقد الدولي يحث على إعادة النظر في كيفية إدارة المخاطر </w:t>
      </w:r>
      <w:r w:rsidRPr="00EF3B89">
        <w:rPr>
          <w:rFonts w:ascii="Traditional Arabic" w:hAnsi="Traditional Arabic" w:cs="Traditional Arabic"/>
          <w:sz w:val="24"/>
          <w:szCs w:val="24"/>
          <w:rtl/>
          <w:lang w:bidi="ar-DZ"/>
        </w:rPr>
        <w:t xml:space="preserve">النظامية العالمية، </w:t>
      </w:r>
      <w:r w:rsidRPr="00EF3B89">
        <w:rPr>
          <w:rFonts w:ascii="Traditional Arabic" w:hAnsi="Traditional Arabic" w:cs="Traditional Arabic" w:hint="cs"/>
          <w:sz w:val="24"/>
          <w:szCs w:val="24"/>
          <w:rtl/>
          <w:lang w:bidi="ar-DZ"/>
        </w:rPr>
        <w:t>مرجع سابق</w:t>
      </w:r>
      <w:r w:rsidRPr="00EF3B89">
        <w:rPr>
          <w:rFonts w:ascii="Traditional Arabic" w:hAnsi="Traditional Arabic" w:cs="Traditional Arabic"/>
          <w:sz w:val="24"/>
          <w:szCs w:val="24"/>
          <w:rtl/>
          <w:lang w:bidi="ar-DZ"/>
        </w:rPr>
        <w:t xml:space="preserve">، </w:t>
      </w:r>
      <w:r w:rsidRPr="00EF3B89">
        <w:rPr>
          <w:rFonts w:ascii="Traditional Arabic" w:hAnsi="Traditional Arabic" w:cs="Traditional Arabic" w:hint="cs"/>
          <w:sz w:val="24"/>
          <w:szCs w:val="24"/>
          <w:rtl/>
          <w:lang w:bidi="ar-DZ"/>
        </w:rPr>
        <w:t>ص ص</w:t>
      </w:r>
      <w:r>
        <w:rPr>
          <w:rFonts w:ascii="Traditional Arabic" w:hAnsi="Traditional Arabic" w:cs="Traditional Arabic" w:hint="cs"/>
          <w:rtl/>
          <w:lang w:bidi="ar-DZ"/>
        </w:rPr>
        <w:t xml:space="preserve"> 3-5</w:t>
      </w:r>
      <w:r w:rsidRPr="004C6F37">
        <w:rPr>
          <w:rFonts w:ascii="Traditional Arabic" w:hAnsi="Traditional Arabic" w:cs="Traditional Arabic"/>
          <w:sz w:val="24"/>
          <w:szCs w:val="24"/>
          <w:rtl/>
          <w:lang w:bidi="ar-DZ"/>
        </w:rPr>
        <w:t xml:space="preserve">. </w:t>
      </w:r>
    </w:p>
  </w:footnote>
  <w:footnote w:id="64">
    <w:p w:rsidR="00205648" w:rsidRPr="004C6F37" w:rsidRDefault="00205648" w:rsidP="00F26683">
      <w:pPr>
        <w:pStyle w:val="Notedebasdepage"/>
        <w:bidi/>
        <w:rPr>
          <w:rFonts w:ascii="Traditional Arabic" w:hAnsi="Traditional Arabic" w:cs="Traditional Arabic"/>
          <w:sz w:val="24"/>
          <w:szCs w:val="24"/>
          <w:rtl/>
          <w:lang w:bidi="ar-DZ"/>
        </w:rPr>
      </w:pPr>
      <w:r w:rsidRPr="004C6F37">
        <w:rPr>
          <w:rStyle w:val="Appelnotedebasdep"/>
          <w:rFonts w:ascii="Traditional Arabic" w:hAnsi="Traditional Arabic" w:cs="Traditional Arabic"/>
          <w:sz w:val="24"/>
          <w:szCs w:val="24"/>
        </w:rPr>
        <w:footnoteRef/>
      </w:r>
      <w:r w:rsidRPr="004C6F37">
        <w:rPr>
          <w:rFonts w:ascii="Traditional Arabic" w:hAnsi="Traditional Arabic" w:cs="Traditional Arabic"/>
          <w:sz w:val="24"/>
          <w:szCs w:val="24"/>
          <w:rtl/>
          <w:lang w:bidi="ar-DZ"/>
        </w:rPr>
        <w:t xml:space="preserve"> نشرة صندوق النقد الدولي، صندوق النقد الدولي يحث على إعادة النظر في كيفية إدارة المخاطر النظامية </w:t>
      </w:r>
      <w:r w:rsidRPr="00432FCF">
        <w:rPr>
          <w:rFonts w:ascii="Traditional Arabic" w:hAnsi="Traditional Arabic" w:cs="Traditional Arabic"/>
          <w:sz w:val="24"/>
          <w:szCs w:val="24"/>
          <w:rtl/>
          <w:lang w:bidi="ar-DZ"/>
        </w:rPr>
        <w:t xml:space="preserve">العالمية، </w:t>
      </w:r>
      <w:r w:rsidRPr="00432FCF">
        <w:rPr>
          <w:rFonts w:ascii="Traditional Arabic" w:hAnsi="Traditional Arabic" w:cs="Traditional Arabic" w:hint="cs"/>
          <w:sz w:val="24"/>
          <w:szCs w:val="24"/>
          <w:rtl/>
          <w:lang w:bidi="ar-DZ"/>
        </w:rPr>
        <w:t>مرجع سابق</w:t>
      </w:r>
      <w:r w:rsidRPr="00432FCF">
        <w:rPr>
          <w:rFonts w:ascii="Traditional Arabic" w:hAnsi="Traditional Arabic" w:cs="Traditional Arabic"/>
          <w:sz w:val="24"/>
          <w:szCs w:val="24"/>
          <w:rtl/>
          <w:lang w:bidi="ar-DZ"/>
        </w:rPr>
        <w:t>،</w:t>
      </w:r>
      <w:r w:rsidRPr="004C6F37">
        <w:rPr>
          <w:rFonts w:ascii="Traditional Arabic" w:hAnsi="Traditional Arabic" w:cs="Traditional Arabic"/>
          <w:sz w:val="24"/>
          <w:szCs w:val="24"/>
          <w:rtl/>
          <w:lang w:bidi="ar-DZ"/>
        </w:rPr>
        <w:t xml:space="preserve"> ص</w:t>
      </w:r>
      <w:r w:rsidRPr="004C6F37">
        <w:rPr>
          <w:rFonts w:ascii="Traditional Arabic" w:hAnsi="Traditional Arabic" w:cs="Traditional Arabic"/>
          <w:rtl/>
          <w:lang w:bidi="ar-DZ"/>
        </w:rPr>
        <w:t>2</w:t>
      </w:r>
      <w:r w:rsidRPr="004C6F37">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745183" w:rsidP="00841C15">
    <w:pPr>
      <w:bidi/>
      <w:spacing w:after="0" w:line="240" w:lineRule="auto"/>
      <w:jc w:val="both"/>
      <w:rPr>
        <w:rFonts w:ascii="Traditional Arabic" w:hAnsi="Traditional Arabic" w:cs="Traditional Arabic"/>
        <w:b/>
        <w:bCs/>
        <w:sz w:val="28"/>
        <w:szCs w:val="28"/>
        <w:rtl/>
        <w:lang w:bidi="ar-DZ"/>
      </w:rPr>
    </w:pPr>
    <w:r>
      <w:rPr>
        <w:rFonts w:ascii="Traditional Arabic" w:hAnsi="Traditional Arabic" w:cs="Traditional Arabic"/>
        <w:b/>
        <w:bCs/>
        <w:noProof/>
        <w:sz w:val="28"/>
        <w:szCs w:val="28"/>
        <w:rtl/>
      </w:rPr>
      <w:pict>
        <v:shapetype id="_x0000_t32" coordsize="21600,21600" o:spt="32" o:oned="t" path="m,l21600,21600e" filled="f">
          <v:path arrowok="t" fillok="f" o:connecttype="none"/>
          <o:lock v:ext="edit" shapetype="t"/>
        </v:shapetype>
        <v:shape id="_x0000_s67585" type="#_x0000_t32" style="position:absolute;left:0;text-align:left;margin-left:-1.35pt;margin-top:19.7pt;width:455.15pt;height:0;flip:x;z-index:251658240" o:connectortype="straight" strokeweight="1pt"/>
      </w:pict>
    </w:r>
    <w:r w:rsidR="00205648">
      <w:rPr>
        <w:rFonts w:ascii="Traditional Arabic" w:hAnsi="Traditional Arabic" w:cs="Traditional Arabic" w:hint="cs"/>
        <w:b/>
        <w:bCs/>
        <w:sz w:val="28"/>
        <w:szCs w:val="28"/>
        <w:rtl/>
        <w:lang w:bidi="ar-DZ"/>
      </w:rPr>
      <w:t>الفصل الخامس                                                              انعكاسات الأزمة المالية العالمية على الدول النامية</w:t>
    </w:r>
  </w:p>
  <w:p w:rsidR="00205648" w:rsidRPr="00841C15" w:rsidRDefault="00205648" w:rsidP="00841C15">
    <w:pPr>
      <w:pStyle w:val="En-tte"/>
      <w:rPr>
        <w:szCs w:val="28"/>
        <w:lang w:bidi="ar-D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745183" w:rsidP="00C55690">
    <w:pPr>
      <w:bidi/>
      <w:spacing w:after="0" w:line="240" w:lineRule="auto"/>
      <w:jc w:val="both"/>
      <w:rPr>
        <w:rFonts w:ascii="Traditional Arabic" w:hAnsi="Traditional Arabic" w:cs="Traditional Arabic"/>
        <w:b/>
        <w:bCs/>
        <w:sz w:val="28"/>
        <w:szCs w:val="28"/>
        <w:rtl/>
        <w:lang w:bidi="ar-DZ"/>
      </w:rPr>
    </w:pPr>
    <w:r>
      <w:rPr>
        <w:rFonts w:ascii="Traditional Arabic" w:hAnsi="Traditional Arabic" w:cs="Traditional Arabic"/>
        <w:b/>
        <w:bCs/>
        <w:noProof/>
        <w:sz w:val="28"/>
        <w:szCs w:val="28"/>
        <w:rtl/>
      </w:rPr>
      <w:pict>
        <v:shapetype id="_x0000_t32" coordsize="21600,21600" o:spt="32" o:oned="t" path="m,l21600,21600e" filled="f">
          <v:path arrowok="t" fillok="f" o:connecttype="none"/>
          <o:lock v:ext="edit" shapetype="t"/>
        </v:shapetype>
        <v:shape id="_x0000_s67586" type="#_x0000_t32" style="position:absolute;left:0;text-align:left;margin-left:-1.35pt;margin-top:19.7pt;width:455.15pt;height:0;flip:x;z-index:251660288" o:connectortype="straight" strokeweight="1pt"/>
      </w:pict>
    </w:r>
    <w:r w:rsidR="00205648">
      <w:rPr>
        <w:rFonts w:ascii="Traditional Arabic" w:hAnsi="Traditional Arabic" w:cs="Traditional Arabic" w:hint="cs"/>
        <w:b/>
        <w:bCs/>
        <w:sz w:val="28"/>
        <w:szCs w:val="28"/>
        <w:rtl/>
        <w:lang w:bidi="ar-DZ"/>
      </w:rPr>
      <w:t>الفصل الخامس                                                              انعكاسات الأزمة المالية العالمية على الدول النامية</w:t>
    </w:r>
  </w:p>
  <w:p w:rsidR="00205648" w:rsidRPr="00C55690" w:rsidRDefault="00205648" w:rsidP="00C55690">
    <w:pPr>
      <w:pStyle w:val="En-tte"/>
      <w:rPr>
        <w:szCs w:val="24"/>
        <w:lang w:bidi="ar-DZ"/>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Default="00745183" w:rsidP="00C55690">
    <w:pPr>
      <w:bidi/>
      <w:spacing w:after="0" w:line="240" w:lineRule="auto"/>
      <w:jc w:val="both"/>
      <w:rPr>
        <w:rFonts w:ascii="Traditional Arabic" w:hAnsi="Traditional Arabic" w:cs="Traditional Arabic"/>
        <w:b/>
        <w:bCs/>
        <w:sz w:val="28"/>
        <w:szCs w:val="28"/>
        <w:rtl/>
        <w:lang w:bidi="ar-DZ"/>
      </w:rPr>
    </w:pPr>
    <w:r>
      <w:rPr>
        <w:rFonts w:ascii="Traditional Arabic" w:hAnsi="Traditional Arabic" w:cs="Traditional Arabic"/>
        <w:b/>
        <w:bCs/>
        <w:noProof/>
        <w:sz w:val="28"/>
        <w:szCs w:val="28"/>
        <w:rtl/>
      </w:rPr>
      <w:pict>
        <v:shapetype id="_x0000_t32" coordsize="21600,21600" o:spt="32" o:oned="t" path="m,l21600,21600e" filled="f">
          <v:path arrowok="t" fillok="f" o:connecttype="none"/>
          <o:lock v:ext="edit" shapetype="t"/>
        </v:shapetype>
        <v:shape id="_x0000_s67587" type="#_x0000_t32" style="position:absolute;left:0;text-align:left;margin-left:-1.35pt;margin-top:19.7pt;width:455.15pt;height:0;flip:x;z-index:251662336" o:connectortype="straight" strokeweight="1pt"/>
      </w:pict>
    </w:r>
    <w:r w:rsidR="00205648">
      <w:rPr>
        <w:rFonts w:ascii="Traditional Arabic" w:hAnsi="Traditional Arabic" w:cs="Traditional Arabic" w:hint="cs"/>
        <w:b/>
        <w:bCs/>
        <w:sz w:val="28"/>
        <w:szCs w:val="28"/>
        <w:rtl/>
        <w:lang w:bidi="ar-DZ"/>
      </w:rPr>
      <w:t>الفصل الخامس                                                              انعكاسات الأزمة المالية العالمية على الدول النامية</w:t>
    </w:r>
  </w:p>
  <w:p w:rsidR="00205648" w:rsidRPr="00C55690" w:rsidRDefault="00205648" w:rsidP="00C55690">
    <w:pPr>
      <w:pStyle w:val="En-tte"/>
      <w:rPr>
        <w:szCs w:val="28"/>
        <w:lang w:bidi="ar-DZ"/>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Pr="00864918" w:rsidRDefault="00745183" w:rsidP="00864918">
    <w:pPr>
      <w:bidi/>
      <w:spacing w:after="0" w:line="240" w:lineRule="auto"/>
      <w:jc w:val="both"/>
      <w:rPr>
        <w:rFonts w:ascii="Traditional Arabic" w:hAnsi="Traditional Arabic" w:cs="Traditional Arabic"/>
        <w:b/>
        <w:bCs/>
        <w:sz w:val="28"/>
        <w:szCs w:val="28"/>
        <w:lang w:bidi="ar-DZ"/>
      </w:rPr>
    </w:pPr>
    <w:r>
      <w:rPr>
        <w:rFonts w:ascii="Traditional Arabic" w:hAnsi="Traditional Arabic" w:cs="Traditional Arabic"/>
        <w:b/>
        <w:bCs/>
        <w:noProof/>
        <w:sz w:val="28"/>
        <w:szCs w:val="28"/>
      </w:rPr>
      <w:pict>
        <v:shapetype id="_x0000_t32" coordsize="21600,21600" o:spt="32" o:oned="t" path="m,l21600,21600e" filled="f">
          <v:path arrowok="t" fillok="f" o:connecttype="none"/>
          <o:lock v:ext="edit" shapetype="t"/>
        </v:shapetype>
        <v:shape id="_x0000_s67588" type="#_x0000_t32" style="position:absolute;left:0;text-align:left;margin-left:-1.35pt;margin-top:19.7pt;width:455.15pt;height:0;flip:x;z-index:251664384" o:connectortype="straight" strokeweight="1pt"/>
      </w:pict>
    </w:r>
    <w:r w:rsidR="00205648">
      <w:rPr>
        <w:rFonts w:ascii="Traditional Arabic" w:hAnsi="Traditional Arabic" w:cs="Traditional Arabic" w:hint="cs"/>
        <w:b/>
        <w:bCs/>
        <w:sz w:val="28"/>
        <w:szCs w:val="28"/>
        <w:rtl/>
        <w:lang w:bidi="ar-DZ"/>
      </w:rPr>
      <w:t>الفصل الخامس                                                              انعكاسات الأزمة المالية العالمية على الدول النامية</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48" w:rsidRPr="00D6545A" w:rsidRDefault="00205648" w:rsidP="00D6545A">
    <w:pPr>
      <w:bidi/>
      <w:jc w:val="right"/>
      <w:rPr>
        <w:rFonts w:ascii="Traditional Arabic" w:hAnsi="Traditional Arabic" w:cs="Traditional Arabic"/>
        <w:sz w:val="24"/>
        <w:szCs w:val="24"/>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3CF"/>
    <w:multiLevelType w:val="hybridMultilevel"/>
    <w:tmpl w:val="5B4E47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457C1A"/>
    <w:multiLevelType w:val="hybridMultilevel"/>
    <w:tmpl w:val="6734D1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81517DA"/>
    <w:multiLevelType w:val="hybridMultilevel"/>
    <w:tmpl w:val="3A74F5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58722"/>
    <o:shapelayout v:ext="edit">
      <o:idmap v:ext="edit" data="66"/>
      <o:rules v:ext="edit">
        <o:r id="V:Rule5" type="connector" idref="#_x0000_s67586"/>
        <o:r id="V:Rule6" type="connector" idref="#_x0000_s67587"/>
        <o:r id="V:Rule7" type="connector" idref="#_x0000_s67585"/>
        <o:r id="V:Rule8" type="connector" idref="#_x0000_s67588"/>
      </o:rules>
    </o:shapelayout>
  </w:hdrShapeDefaults>
  <w:footnotePr>
    <w:footnote w:id="0"/>
    <w:footnote w:id="1"/>
  </w:footnotePr>
  <w:endnotePr>
    <w:endnote w:id="0"/>
    <w:endnote w:id="1"/>
  </w:endnotePr>
  <w:compat>
    <w:useFELayout/>
  </w:compat>
  <w:rsids>
    <w:rsidRoot w:val="00882303"/>
    <w:rsid w:val="00000739"/>
    <w:rsid w:val="000012D7"/>
    <w:rsid w:val="000013EA"/>
    <w:rsid w:val="000015A2"/>
    <w:rsid w:val="00003FEF"/>
    <w:rsid w:val="00006C1B"/>
    <w:rsid w:val="000105B2"/>
    <w:rsid w:val="00010F8B"/>
    <w:rsid w:val="0001325A"/>
    <w:rsid w:val="00014E19"/>
    <w:rsid w:val="0001719B"/>
    <w:rsid w:val="0003239F"/>
    <w:rsid w:val="00032863"/>
    <w:rsid w:val="000352A7"/>
    <w:rsid w:val="00035367"/>
    <w:rsid w:val="0004160D"/>
    <w:rsid w:val="00042072"/>
    <w:rsid w:val="00043E83"/>
    <w:rsid w:val="00046B71"/>
    <w:rsid w:val="00047FA1"/>
    <w:rsid w:val="00050561"/>
    <w:rsid w:val="00051491"/>
    <w:rsid w:val="000523F1"/>
    <w:rsid w:val="0006258E"/>
    <w:rsid w:val="00062C18"/>
    <w:rsid w:val="000635A3"/>
    <w:rsid w:val="00065051"/>
    <w:rsid w:val="00066B12"/>
    <w:rsid w:val="00074B4E"/>
    <w:rsid w:val="000753DE"/>
    <w:rsid w:val="000766BE"/>
    <w:rsid w:val="00076DA3"/>
    <w:rsid w:val="0007765D"/>
    <w:rsid w:val="0008005C"/>
    <w:rsid w:val="00080E98"/>
    <w:rsid w:val="000818DB"/>
    <w:rsid w:val="0008244F"/>
    <w:rsid w:val="00083FBD"/>
    <w:rsid w:val="00086E07"/>
    <w:rsid w:val="000908C4"/>
    <w:rsid w:val="00090EBE"/>
    <w:rsid w:val="00091D7B"/>
    <w:rsid w:val="00093831"/>
    <w:rsid w:val="00093EFF"/>
    <w:rsid w:val="00094547"/>
    <w:rsid w:val="00094D6B"/>
    <w:rsid w:val="00095213"/>
    <w:rsid w:val="00095D8D"/>
    <w:rsid w:val="00096160"/>
    <w:rsid w:val="00096DA7"/>
    <w:rsid w:val="00097186"/>
    <w:rsid w:val="00097362"/>
    <w:rsid w:val="000A00AD"/>
    <w:rsid w:val="000A0A7B"/>
    <w:rsid w:val="000A15F0"/>
    <w:rsid w:val="000A358A"/>
    <w:rsid w:val="000A3842"/>
    <w:rsid w:val="000A3A25"/>
    <w:rsid w:val="000A6596"/>
    <w:rsid w:val="000A6745"/>
    <w:rsid w:val="000A6C8D"/>
    <w:rsid w:val="000B0189"/>
    <w:rsid w:val="000B0A80"/>
    <w:rsid w:val="000B0BDC"/>
    <w:rsid w:val="000B2C4D"/>
    <w:rsid w:val="000B35A2"/>
    <w:rsid w:val="000B4A60"/>
    <w:rsid w:val="000B69C2"/>
    <w:rsid w:val="000B7A31"/>
    <w:rsid w:val="000C0DA9"/>
    <w:rsid w:val="000C3B3C"/>
    <w:rsid w:val="000C6C66"/>
    <w:rsid w:val="000D1C48"/>
    <w:rsid w:val="000D29CC"/>
    <w:rsid w:val="000D2D94"/>
    <w:rsid w:val="000D5D33"/>
    <w:rsid w:val="000E0302"/>
    <w:rsid w:val="000E13F0"/>
    <w:rsid w:val="000E1454"/>
    <w:rsid w:val="000E19EE"/>
    <w:rsid w:val="000E4678"/>
    <w:rsid w:val="000E4CCD"/>
    <w:rsid w:val="000E4FF0"/>
    <w:rsid w:val="000F0BB0"/>
    <w:rsid w:val="000F2733"/>
    <w:rsid w:val="000F3A0C"/>
    <w:rsid w:val="000F447B"/>
    <w:rsid w:val="000F78A9"/>
    <w:rsid w:val="00100139"/>
    <w:rsid w:val="00101693"/>
    <w:rsid w:val="00101BC0"/>
    <w:rsid w:val="00101EE5"/>
    <w:rsid w:val="00105100"/>
    <w:rsid w:val="0010757A"/>
    <w:rsid w:val="00107F2F"/>
    <w:rsid w:val="00111613"/>
    <w:rsid w:val="001119A5"/>
    <w:rsid w:val="00112351"/>
    <w:rsid w:val="0011447D"/>
    <w:rsid w:val="001160F7"/>
    <w:rsid w:val="001247A1"/>
    <w:rsid w:val="00124FB3"/>
    <w:rsid w:val="00125E65"/>
    <w:rsid w:val="0012658B"/>
    <w:rsid w:val="0012765A"/>
    <w:rsid w:val="001279E5"/>
    <w:rsid w:val="0013747C"/>
    <w:rsid w:val="0014192D"/>
    <w:rsid w:val="001420DA"/>
    <w:rsid w:val="00142D20"/>
    <w:rsid w:val="001442EE"/>
    <w:rsid w:val="00144760"/>
    <w:rsid w:val="00144B85"/>
    <w:rsid w:val="00144D16"/>
    <w:rsid w:val="00145F5E"/>
    <w:rsid w:val="00147420"/>
    <w:rsid w:val="00150D96"/>
    <w:rsid w:val="00153AC2"/>
    <w:rsid w:val="00154416"/>
    <w:rsid w:val="001549B2"/>
    <w:rsid w:val="001554FE"/>
    <w:rsid w:val="00155713"/>
    <w:rsid w:val="0016008D"/>
    <w:rsid w:val="00160F3D"/>
    <w:rsid w:val="001615BB"/>
    <w:rsid w:val="001646AC"/>
    <w:rsid w:val="00164773"/>
    <w:rsid w:val="001656D0"/>
    <w:rsid w:val="00174A2F"/>
    <w:rsid w:val="00175280"/>
    <w:rsid w:val="00176C86"/>
    <w:rsid w:val="00176FA3"/>
    <w:rsid w:val="00182D55"/>
    <w:rsid w:val="001848F7"/>
    <w:rsid w:val="00184D83"/>
    <w:rsid w:val="001902A6"/>
    <w:rsid w:val="001910AC"/>
    <w:rsid w:val="00191D61"/>
    <w:rsid w:val="00191F2D"/>
    <w:rsid w:val="00191FC3"/>
    <w:rsid w:val="00192037"/>
    <w:rsid w:val="001939C0"/>
    <w:rsid w:val="00194EFA"/>
    <w:rsid w:val="001952E2"/>
    <w:rsid w:val="00195A09"/>
    <w:rsid w:val="00196B72"/>
    <w:rsid w:val="00196F89"/>
    <w:rsid w:val="001A0D67"/>
    <w:rsid w:val="001A4FB3"/>
    <w:rsid w:val="001A5394"/>
    <w:rsid w:val="001B03C8"/>
    <w:rsid w:val="001B0687"/>
    <w:rsid w:val="001B07CC"/>
    <w:rsid w:val="001B2D02"/>
    <w:rsid w:val="001B361D"/>
    <w:rsid w:val="001B697E"/>
    <w:rsid w:val="001B7742"/>
    <w:rsid w:val="001C141E"/>
    <w:rsid w:val="001C1786"/>
    <w:rsid w:val="001C3844"/>
    <w:rsid w:val="001C4053"/>
    <w:rsid w:val="001C424C"/>
    <w:rsid w:val="001C6649"/>
    <w:rsid w:val="001C7C8B"/>
    <w:rsid w:val="001D0C3A"/>
    <w:rsid w:val="001D495E"/>
    <w:rsid w:val="001D4A1F"/>
    <w:rsid w:val="001E0355"/>
    <w:rsid w:val="001E2ADB"/>
    <w:rsid w:val="001E3533"/>
    <w:rsid w:val="001E4161"/>
    <w:rsid w:val="001E6651"/>
    <w:rsid w:val="001F024C"/>
    <w:rsid w:val="001F30E4"/>
    <w:rsid w:val="001F39DA"/>
    <w:rsid w:val="001F480B"/>
    <w:rsid w:val="001F48CF"/>
    <w:rsid w:val="001F4E35"/>
    <w:rsid w:val="001F5278"/>
    <w:rsid w:val="001F6638"/>
    <w:rsid w:val="0020025F"/>
    <w:rsid w:val="00202274"/>
    <w:rsid w:val="00203057"/>
    <w:rsid w:val="00203501"/>
    <w:rsid w:val="002050A4"/>
    <w:rsid w:val="002052AA"/>
    <w:rsid w:val="0020562A"/>
    <w:rsid w:val="00205648"/>
    <w:rsid w:val="00212451"/>
    <w:rsid w:val="002124BA"/>
    <w:rsid w:val="00212A79"/>
    <w:rsid w:val="0021773E"/>
    <w:rsid w:val="0022108D"/>
    <w:rsid w:val="00222649"/>
    <w:rsid w:val="00222CFC"/>
    <w:rsid w:val="00223011"/>
    <w:rsid w:val="00223147"/>
    <w:rsid w:val="002237E2"/>
    <w:rsid w:val="00223F8A"/>
    <w:rsid w:val="002248D5"/>
    <w:rsid w:val="0023027D"/>
    <w:rsid w:val="00235609"/>
    <w:rsid w:val="00235A79"/>
    <w:rsid w:val="00236C66"/>
    <w:rsid w:val="002415A8"/>
    <w:rsid w:val="002425BF"/>
    <w:rsid w:val="0024282E"/>
    <w:rsid w:val="00243BAB"/>
    <w:rsid w:val="00247251"/>
    <w:rsid w:val="002476D9"/>
    <w:rsid w:val="00247823"/>
    <w:rsid w:val="00251203"/>
    <w:rsid w:val="002522D7"/>
    <w:rsid w:val="0025435E"/>
    <w:rsid w:val="002545D6"/>
    <w:rsid w:val="00256049"/>
    <w:rsid w:val="002565D3"/>
    <w:rsid w:val="002575FE"/>
    <w:rsid w:val="002576A0"/>
    <w:rsid w:val="00260438"/>
    <w:rsid w:val="0026109B"/>
    <w:rsid w:val="00262F7F"/>
    <w:rsid w:val="00266169"/>
    <w:rsid w:val="0026636A"/>
    <w:rsid w:val="0027004A"/>
    <w:rsid w:val="00270869"/>
    <w:rsid w:val="00270DC8"/>
    <w:rsid w:val="00272C30"/>
    <w:rsid w:val="00274034"/>
    <w:rsid w:val="002759FF"/>
    <w:rsid w:val="00281AE5"/>
    <w:rsid w:val="0028310A"/>
    <w:rsid w:val="002852F2"/>
    <w:rsid w:val="002866F7"/>
    <w:rsid w:val="00291967"/>
    <w:rsid w:val="00291B75"/>
    <w:rsid w:val="002925FD"/>
    <w:rsid w:val="002933E3"/>
    <w:rsid w:val="00294978"/>
    <w:rsid w:val="00295CB0"/>
    <w:rsid w:val="00296F9C"/>
    <w:rsid w:val="002971CA"/>
    <w:rsid w:val="002A05D8"/>
    <w:rsid w:val="002A0F12"/>
    <w:rsid w:val="002A2DD2"/>
    <w:rsid w:val="002A3566"/>
    <w:rsid w:val="002A43A1"/>
    <w:rsid w:val="002A6738"/>
    <w:rsid w:val="002B0FB1"/>
    <w:rsid w:val="002B3F0C"/>
    <w:rsid w:val="002B3FC5"/>
    <w:rsid w:val="002B4C30"/>
    <w:rsid w:val="002B5B77"/>
    <w:rsid w:val="002C0E7F"/>
    <w:rsid w:val="002C179E"/>
    <w:rsid w:val="002C1C85"/>
    <w:rsid w:val="002C2180"/>
    <w:rsid w:val="002C2B05"/>
    <w:rsid w:val="002C30BA"/>
    <w:rsid w:val="002C3A22"/>
    <w:rsid w:val="002C3B97"/>
    <w:rsid w:val="002C4212"/>
    <w:rsid w:val="002C4F07"/>
    <w:rsid w:val="002C59F6"/>
    <w:rsid w:val="002C5A1F"/>
    <w:rsid w:val="002C7566"/>
    <w:rsid w:val="002D0782"/>
    <w:rsid w:val="002D1150"/>
    <w:rsid w:val="002E03CB"/>
    <w:rsid w:val="002E0757"/>
    <w:rsid w:val="002E0F30"/>
    <w:rsid w:val="002F05A0"/>
    <w:rsid w:val="002F2AF5"/>
    <w:rsid w:val="002F2CFE"/>
    <w:rsid w:val="002F322F"/>
    <w:rsid w:val="002F3E9E"/>
    <w:rsid w:val="002F59E7"/>
    <w:rsid w:val="002F61D3"/>
    <w:rsid w:val="002F66F2"/>
    <w:rsid w:val="002F7947"/>
    <w:rsid w:val="00302FBF"/>
    <w:rsid w:val="00303A88"/>
    <w:rsid w:val="00306066"/>
    <w:rsid w:val="00306D86"/>
    <w:rsid w:val="00312A15"/>
    <w:rsid w:val="00313DD1"/>
    <w:rsid w:val="00317708"/>
    <w:rsid w:val="00317C4F"/>
    <w:rsid w:val="0032084E"/>
    <w:rsid w:val="0032245E"/>
    <w:rsid w:val="00322A37"/>
    <w:rsid w:val="00326473"/>
    <w:rsid w:val="00326854"/>
    <w:rsid w:val="00326CE2"/>
    <w:rsid w:val="00327CD5"/>
    <w:rsid w:val="0033142B"/>
    <w:rsid w:val="00331A8D"/>
    <w:rsid w:val="003326B3"/>
    <w:rsid w:val="00332CDC"/>
    <w:rsid w:val="00334318"/>
    <w:rsid w:val="00334BB1"/>
    <w:rsid w:val="003460E8"/>
    <w:rsid w:val="00346FC7"/>
    <w:rsid w:val="00354078"/>
    <w:rsid w:val="0035556B"/>
    <w:rsid w:val="00355837"/>
    <w:rsid w:val="003576D5"/>
    <w:rsid w:val="00360E68"/>
    <w:rsid w:val="00361915"/>
    <w:rsid w:val="00361D21"/>
    <w:rsid w:val="00364295"/>
    <w:rsid w:val="003651AA"/>
    <w:rsid w:val="00367A51"/>
    <w:rsid w:val="00372719"/>
    <w:rsid w:val="00373F38"/>
    <w:rsid w:val="00373FF2"/>
    <w:rsid w:val="0037799F"/>
    <w:rsid w:val="003802DE"/>
    <w:rsid w:val="0038031E"/>
    <w:rsid w:val="003818E9"/>
    <w:rsid w:val="00382135"/>
    <w:rsid w:val="00382FBB"/>
    <w:rsid w:val="00383466"/>
    <w:rsid w:val="00384810"/>
    <w:rsid w:val="00384F33"/>
    <w:rsid w:val="003865E5"/>
    <w:rsid w:val="00386724"/>
    <w:rsid w:val="00387B66"/>
    <w:rsid w:val="003901E1"/>
    <w:rsid w:val="0039097D"/>
    <w:rsid w:val="00390E27"/>
    <w:rsid w:val="003912E1"/>
    <w:rsid w:val="003927B8"/>
    <w:rsid w:val="00392A8A"/>
    <w:rsid w:val="003935D8"/>
    <w:rsid w:val="00393EED"/>
    <w:rsid w:val="00397FD7"/>
    <w:rsid w:val="003A165A"/>
    <w:rsid w:val="003A2C00"/>
    <w:rsid w:val="003A3848"/>
    <w:rsid w:val="003A5AE3"/>
    <w:rsid w:val="003A6E8C"/>
    <w:rsid w:val="003A7F20"/>
    <w:rsid w:val="003B3E01"/>
    <w:rsid w:val="003B5681"/>
    <w:rsid w:val="003B5BE4"/>
    <w:rsid w:val="003B5D06"/>
    <w:rsid w:val="003B66B0"/>
    <w:rsid w:val="003C00BB"/>
    <w:rsid w:val="003C134D"/>
    <w:rsid w:val="003C209A"/>
    <w:rsid w:val="003C3F86"/>
    <w:rsid w:val="003C5DF5"/>
    <w:rsid w:val="003C695F"/>
    <w:rsid w:val="003C7B10"/>
    <w:rsid w:val="003D48CB"/>
    <w:rsid w:val="003D783C"/>
    <w:rsid w:val="003D7CA9"/>
    <w:rsid w:val="003E260B"/>
    <w:rsid w:val="003E2A9E"/>
    <w:rsid w:val="003E3262"/>
    <w:rsid w:val="003E4995"/>
    <w:rsid w:val="003E5D81"/>
    <w:rsid w:val="003E78F5"/>
    <w:rsid w:val="003F18FB"/>
    <w:rsid w:val="003F1DD3"/>
    <w:rsid w:val="003F5368"/>
    <w:rsid w:val="003F54ED"/>
    <w:rsid w:val="003F5AA9"/>
    <w:rsid w:val="00400E9C"/>
    <w:rsid w:val="0040240E"/>
    <w:rsid w:val="00402914"/>
    <w:rsid w:val="00402A2B"/>
    <w:rsid w:val="00405D08"/>
    <w:rsid w:val="0041055F"/>
    <w:rsid w:val="00410B7A"/>
    <w:rsid w:val="0041174C"/>
    <w:rsid w:val="00412FF7"/>
    <w:rsid w:val="004139CD"/>
    <w:rsid w:val="00414989"/>
    <w:rsid w:val="0041629E"/>
    <w:rsid w:val="00416417"/>
    <w:rsid w:val="00416773"/>
    <w:rsid w:val="0041683A"/>
    <w:rsid w:val="00417F92"/>
    <w:rsid w:val="0042106E"/>
    <w:rsid w:val="004219BB"/>
    <w:rsid w:val="00421B16"/>
    <w:rsid w:val="004220C3"/>
    <w:rsid w:val="00423F5D"/>
    <w:rsid w:val="004305B2"/>
    <w:rsid w:val="00430C3A"/>
    <w:rsid w:val="00431CCC"/>
    <w:rsid w:val="00432FCF"/>
    <w:rsid w:val="00433D24"/>
    <w:rsid w:val="00434342"/>
    <w:rsid w:val="00434D00"/>
    <w:rsid w:val="00435CF1"/>
    <w:rsid w:val="00437BC2"/>
    <w:rsid w:val="0044061D"/>
    <w:rsid w:val="004408AE"/>
    <w:rsid w:val="004414F6"/>
    <w:rsid w:val="00441D4D"/>
    <w:rsid w:val="0044253E"/>
    <w:rsid w:val="004440ED"/>
    <w:rsid w:val="004445DE"/>
    <w:rsid w:val="004458C9"/>
    <w:rsid w:val="00450C3D"/>
    <w:rsid w:val="00453A10"/>
    <w:rsid w:val="00453A8B"/>
    <w:rsid w:val="00453CB1"/>
    <w:rsid w:val="00455483"/>
    <w:rsid w:val="0045648F"/>
    <w:rsid w:val="00456F6C"/>
    <w:rsid w:val="00457A88"/>
    <w:rsid w:val="004607DC"/>
    <w:rsid w:val="004622FD"/>
    <w:rsid w:val="004670BB"/>
    <w:rsid w:val="0047133E"/>
    <w:rsid w:val="00472603"/>
    <w:rsid w:val="00476FF1"/>
    <w:rsid w:val="00477DDB"/>
    <w:rsid w:val="00481EF3"/>
    <w:rsid w:val="00484E37"/>
    <w:rsid w:val="004908DB"/>
    <w:rsid w:val="00491EAC"/>
    <w:rsid w:val="0049261E"/>
    <w:rsid w:val="00492BB4"/>
    <w:rsid w:val="004933B9"/>
    <w:rsid w:val="00496660"/>
    <w:rsid w:val="004A0AEE"/>
    <w:rsid w:val="004A1030"/>
    <w:rsid w:val="004A2B1F"/>
    <w:rsid w:val="004A343A"/>
    <w:rsid w:val="004A45B9"/>
    <w:rsid w:val="004A5DAF"/>
    <w:rsid w:val="004A71D1"/>
    <w:rsid w:val="004A722D"/>
    <w:rsid w:val="004A7CF8"/>
    <w:rsid w:val="004B003C"/>
    <w:rsid w:val="004B1DB4"/>
    <w:rsid w:val="004B73AC"/>
    <w:rsid w:val="004B7782"/>
    <w:rsid w:val="004B7825"/>
    <w:rsid w:val="004C1B9F"/>
    <w:rsid w:val="004C3C1D"/>
    <w:rsid w:val="004C5579"/>
    <w:rsid w:val="004C620E"/>
    <w:rsid w:val="004C7B56"/>
    <w:rsid w:val="004D0A6C"/>
    <w:rsid w:val="004D7E47"/>
    <w:rsid w:val="004E1256"/>
    <w:rsid w:val="004E1615"/>
    <w:rsid w:val="004E2968"/>
    <w:rsid w:val="004E4165"/>
    <w:rsid w:val="004E517C"/>
    <w:rsid w:val="004E72FF"/>
    <w:rsid w:val="004E7B20"/>
    <w:rsid w:val="004F1759"/>
    <w:rsid w:val="004F26F5"/>
    <w:rsid w:val="004F2ACF"/>
    <w:rsid w:val="004F658A"/>
    <w:rsid w:val="004F6596"/>
    <w:rsid w:val="004F6FA0"/>
    <w:rsid w:val="004F7EB1"/>
    <w:rsid w:val="005017CA"/>
    <w:rsid w:val="00501E54"/>
    <w:rsid w:val="005043BC"/>
    <w:rsid w:val="00504C4A"/>
    <w:rsid w:val="00505146"/>
    <w:rsid w:val="005069A4"/>
    <w:rsid w:val="00507EC9"/>
    <w:rsid w:val="005173CE"/>
    <w:rsid w:val="00520720"/>
    <w:rsid w:val="00522ADC"/>
    <w:rsid w:val="005246D1"/>
    <w:rsid w:val="0052693A"/>
    <w:rsid w:val="00526969"/>
    <w:rsid w:val="00527EDB"/>
    <w:rsid w:val="00533BBB"/>
    <w:rsid w:val="00535BC3"/>
    <w:rsid w:val="00535DCE"/>
    <w:rsid w:val="005379CA"/>
    <w:rsid w:val="00541A7D"/>
    <w:rsid w:val="005465CB"/>
    <w:rsid w:val="00547C51"/>
    <w:rsid w:val="005505E6"/>
    <w:rsid w:val="005514CD"/>
    <w:rsid w:val="0055666D"/>
    <w:rsid w:val="00557108"/>
    <w:rsid w:val="00560526"/>
    <w:rsid w:val="00560A38"/>
    <w:rsid w:val="005630CF"/>
    <w:rsid w:val="005639F4"/>
    <w:rsid w:val="005667E7"/>
    <w:rsid w:val="00570920"/>
    <w:rsid w:val="00570A6B"/>
    <w:rsid w:val="005712BE"/>
    <w:rsid w:val="00573F0A"/>
    <w:rsid w:val="00573F87"/>
    <w:rsid w:val="00574DF1"/>
    <w:rsid w:val="0057522F"/>
    <w:rsid w:val="0057651D"/>
    <w:rsid w:val="0058011B"/>
    <w:rsid w:val="00582190"/>
    <w:rsid w:val="0058240F"/>
    <w:rsid w:val="00583CD8"/>
    <w:rsid w:val="00584B38"/>
    <w:rsid w:val="00590B44"/>
    <w:rsid w:val="00593622"/>
    <w:rsid w:val="00594ECF"/>
    <w:rsid w:val="0059519D"/>
    <w:rsid w:val="00595326"/>
    <w:rsid w:val="00596C21"/>
    <w:rsid w:val="00596D9B"/>
    <w:rsid w:val="005975DD"/>
    <w:rsid w:val="0059767D"/>
    <w:rsid w:val="005A17AD"/>
    <w:rsid w:val="005A24E5"/>
    <w:rsid w:val="005A27BB"/>
    <w:rsid w:val="005A291D"/>
    <w:rsid w:val="005A29A3"/>
    <w:rsid w:val="005A2DAA"/>
    <w:rsid w:val="005A5203"/>
    <w:rsid w:val="005B0E4F"/>
    <w:rsid w:val="005B0F65"/>
    <w:rsid w:val="005B17C7"/>
    <w:rsid w:val="005B4C25"/>
    <w:rsid w:val="005B7026"/>
    <w:rsid w:val="005B7BDB"/>
    <w:rsid w:val="005C1855"/>
    <w:rsid w:val="005C1F09"/>
    <w:rsid w:val="005C5167"/>
    <w:rsid w:val="005C5916"/>
    <w:rsid w:val="005D2578"/>
    <w:rsid w:val="005D2848"/>
    <w:rsid w:val="005D393D"/>
    <w:rsid w:val="005D408C"/>
    <w:rsid w:val="005D583A"/>
    <w:rsid w:val="005D6EEF"/>
    <w:rsid w:val="005E0BA9"/>
    <w:rsid w:val="005E12F2"/>
    <w:rsid w:val="005E2CA5"/>
    <w:rsid w:val="005E3234"/>
    <w:rsid w:val="005E601B"/>
    <w:rsid w:val="005E6479"/>
    <w:rsid w:val="005E6FD1"/>
    <w:rsid w:val="005E7ABD"/>
    <w:rsid w:val="005F2B9B"/>
    <w:rsid w:val="005F2CB0"/>
    <w:rsid w:val="005F3C0A"/>
    <w:rsid w:val="005F3C50"/>
    <w:rsid w:val="00600BBE"/>
    <w:rsid w:val="00600EC1"/>
    <w:rsid w:val="006013BE"/>
    <w:rsid w:val="00604554"/>
    <w:rsid w:val="00605167"/>
    <w:rsid w:val="0060589B"/>
    <w:rsid w:val="0060613E"/>
    <w:rsid w:val="00613706"/>
    <w:rsid w:val="00613EDA"/>
    <w:rsid w:val="006143CB"/>
    <w:rsid w:val="006159B7"/>
    <w:rsid w:val="00621AFC"/>
    <w:rsid w:val="00624EF1"/>
    <w:rsid w:val="006271BF"/>
    <w:rsid w:val="00631BCC"/>
    <w:rsid w:val="00633379"/>
    <w:rsid w:val="0063358E"/>
    <w:rsid w:val="006375F4"/>
    <w:rsid w:val="00637F81"/>
    <w:rsid w:val="00644F24"/>
    <w:rsid w:val="006458AF"/>
    <w:rsid w:val="00646B4E"/>
    <w:rsid w:val="006472BA"/>
    <w:rsid w:val="006503E2"/>
    <w:rsid w:val="00650D78"/>
    <w:rsid w:val="006523CA"/>
    <w:rsid w:val="006526BC"/>
    <w:rsid w:val="0065597A"/>
    <w:rsid w:val="006566B0"/>
    <w:rsid w:val="00656FC6"/>
    <w:rsid w:val="0066004C"/>
    <w:rsid w:val="00660A6D"/>
    <w:rsid w:val="00662E8A"/>
    <w:rsid w:val="00663FE9"/>
    <w:rsid w:val="00666173"/>
    <w:rsid w:val="00666790"/>
    <w:rsid w:val="006703D7"/>
    <w:rsid w:val="00670D34"/>
    <w:rsid w:val="00672CF2"/>
    <w:rsid w:val="0067339C"/>
    <w:rsid w:val="006735B3"/>
    <w:rsid w:val="0067605B"/>
    <w:rsid w:val="0067613E"/>
    <w:rsid w:val="006775AD"/>
    <w:rsid w:val="00681F92"/>
    <w:rsid w:val="00682551"/>
    <w:rsid w:val="00683638"/>
    <w:rsid w:val="00683902"/>
    <w:rsid w:val="00683D1C"/>
    <w:rsid w:val="00683D9B"/>
    <w:rsid w:val="00684C94"/>
    <w:rsid w:val="006857FD"/>
    <w:rsid w:val="006865B2"/>
    <w:rsid w:val="00690D16"/>
    <w:rsid w:val="00693FB2"/>
    <w:rsid w:val="0069658C"/>
    <w:rsid w:val="0069698A"/>
    <w:rsid w:val="0069768A"/>
    <w:rsid w:val="006A1916"/>
    <w:rsid w:val="006A1C14"/>
    <w:rsid w:val="006A45F2"/>
    <w:rsid w:val="006A6C99"/>
    <w:rsid w:val="006B19FB"/>
    <w:rsid w:val="006B2D2A"/>
    <w:rsid w:val="006B2E70"/>
    <w:rsid w:val="006B5C21"/>
    <w:rsid w:val="006C0689"/>
    <w:rsid w:val="006C13C3"/>
    <w:rsid w:val="006C3E76"/>
    <w:rsid w:val="006C4626"/>
    <w:rsid w:val="006C76EF"/>
    <w:rsid w:val="006D11D9"/>
    <w:rsid w:val="006D37C2"/>
    <w:rsid w:val="006E2F09"/>
    <w:rsid w:val="006E6C51"/>
    <w:rsid w:val="006E7525"/>
    <w:rsid w:val="006F0296"/>
    <w:rsid w:val="006F443B"/>
    <w:rsid w:val="006F76A2"/>
    <w:rsid w:val="007005E6"/>
    <w:rsid w:val="007041B3"/>
    <w:rsid w:val="0070512C"/>
    <w:rsid w:val="007053F1"/>
    <w:rsid w:val="00706056"/>
    <w:rsid w:val="00706780"/>
    <w:rsid w:val="0070678C"/>
    <w:rsid w:val="007070D7"/>
    <w:rsid w:val="00707269"/>
    <w:rsid w:val="0071043A"/>
    <w:rsid w:val="00711DDB"/>
    <w:rsid w:val="00712CB3"/>
    <w:rsid w:val="00714766"/>
    <w:rsid w:val="007176AB"/>
    <w:rsid w:val="0072173C"/>
    <w:rsid w:val="00724274"/>
    <w:rsid w:val="007252FA"/>
    <w:rsid w:val="00727890"/>
    <w:rsid w:val="007307D5"/>
    <w:rsid w:val="0073101E"/>
    <w:rsid w:val="00733BF7"/>
    <w:rsid w:val="00733ED6"/>
    <w:rsid w:val="0074318C"/>
    <w:rsid w:val="007431C0"/>
    <w:rsid w:val="007439F7"/>
    <w:rsid w:val="00743EAD"/>
    <w:rsid w:val="00744022"/>
    <w:rsid w:val="00745183"/>
    <w:rsid w:val="00745F31"/>
    <w:rsid w:val="00750D5C"/>
    <w:rsid w:val="00752B5F"/>
    <w:rsid w:val="007541F5"/>
    <w:rsid w:val="00756447"/>
    <w:rsid w:val="00757EF7"/>
    <w:rsid w:val="00760092"/>
    <w:rsid w:val="00761114"/>
    <w:rsid w:val="00762933"/>
    <w:rsid w:val="00767512"/>
    <w:rsid w:val="00767740"/>
    <w:rsid w:val="007705D4"/>
    <w:rsid w:val="00770A64"/>
    <w:rsid w:val="00772B45"/>
    <w:rsid w:val="00773FF6"/>
    <w:rsid w:val="007745FE"/>
    <w:rsid w:val="00776C21"/>
    <w:rsid w:val="007770B3"/>
    <w:rsid w:val="00780819"/>
    <w:rsid w:val="00780B80"/>
    <w:rsid w:val="007810C9"/>
    <w:rsid w:val="00783412"/>
    <w:rsid w:val="00785DD5"/>
    <w:rsid w:val="00787583"/>
    <w:rsid w:val="00787816"/>
    <w:rsid w:val="00787998"/>
    <w:rsid w:val="0079134C"/>
    <w:rsid w:val="007916E5"/>
    <w:rsid w:val="007916F5"/>
    <w:rsid w:val="00793826"/>
    <w:rsid w:val="00793953"/>
    <w:rsid w:val="007949D9"/>
    <w:rsid w:val="00796EBB"/>
    <w:rsid w:val="007A0EB0"/>
    <w:rsid w:val="007A1221"/>
    <w:rsid w:val="007A4183"/>
    <w:rsid w:val="007A612C"/>
    <w:rsid w:val="007A69BB"/>
    <w:rsid w:val="007A7217"/>
    <w:rsid w:val="007A7F4F"/>
    <w:rsid w:val="007B007E"/>
    <w:rsid w:val="007B0131"/>
    <w:rsid w:val="007B1014"/>
    <w:rsid w:val="007B16C2"/>
    <w:rsid w:val="007B19A1"/>
    <w:rsid w:val="007B203D"/>
    <w:rsid w:val="007B58F0"/>
    <w:rsid w:val="007C2FD0"/>
    <w:rsid w:val="007C4668"/>
    <w:rsid w:val="007C7109"/>
    <w:rsid w:val="007C76C8"/>
    <w:rsid w:val="007D297B"/>
    <w:rsid w:val="007D4467"/>
    <w:rsid w:val="007D527F"/>
    <w:rsid w:val="007D5C27"/>
    <w:rsid w:val="007D6ABE"/>
    <w:rsid w:val="007D6D9B"/>
    <w:rsid w:val="007D70BB"/>
    <w:rsid w:val="007D71A6"/>
    <w:rsid w:val="007E0569"/>
    <w:rsid w:val="007E298A"/>
    <w:rsid w:val="007E57BD"/>
    <w:rsid w:val="007E7627"/>
    <w:rsid w:val="007F2AD7"/>
    <w:rsid w:val="007F35C6"/>
    <w:rsid w:val="007F7B98"/>
    <w:rsid w:val="00802510"/>
    <w:rsid w:val="00802FC2"/>
    <w:rsid w:val="00803364"/>
    <w:rsid w:val="008038A7"/>
    <w:rsid w:val="00803A69"/>
    <w:rsid w:val="008067F8"/>
    <w:rsid w:val="00811A84"/>
    <w:rsid w:val="0081219F"/>
    <w:rsid w:val="00812BF9"/>
    <w:rsid w:val="00813086"/>
    <w:rsid w:val="00813AEE"/>
    <w:rsid w:val="00814181"/>
    <w:rsid w:val="00816395"/>
    <w:rsid w:val="00816E38"/>
    <w:rsid w:val="00816F6C"/>
    <w:rsid w:val="0081786A"/>
    <w:rsid w:val="00817F9A"/>
    <w:rsid w:val="00820AC5"/>
    <w:rsid w:val="00820C35"/>
    <w:rsid w:val="0082131A"/>
    <w:rsid w:val="00822420"/>
    <w:rsid w:val="0082296C"/>
    <w:rsid w:val="00823B3B"/>
    <w:rsid w:val="0082436B"/>
    <w:rsid w:val="0082445E"/>
    <w:rsid w:val="0082459A"/>
    <w:rsid w:val="00827204"/>
    <w:rsid w:val="00827AAA"/>
    <w:rsid w:val="0083308A"/>
    <w:rsid w:val="00833DD1"/>
    <w:rsid w:val="008346A5"/>
    <w:rsid w:val="008368A9"/>
    <w:rsid w:val="00841016"/>
    <w:rsid w:val="00841C15"/>
    <w:rsid w:val="008422DD"/>
    <w:rsid w:val="00842E08"/>
    <w:rsid w:val="0084558B"/>
    <w:rsid w:val="00847755"/>
    <w:rsid w:val="0085036E"/>
    <w:rsid w:val="008505F1"/>
    <w:rsid w:val="008537A9"/>
    <w:rsid w:val="00854BCD"/>
    <w:rsid w:val="0085524B"/>
    <w:rsid w:val="00855AF7"/>
    <w:rsid w:val="008561F0"/>
    <w:rsid w:val="008564AC"/>
    <w:rsid w:val="00861B77"/>
    <w:rsid w:val="00864918"/>
    <w:rsid w:val="00865358"/>
    <w:rsid w:val="00865379"/>
    <w:rsid w:val="00866C98"/>
    <w:rsid w:val="00871F4E"/>
    <w:rsid w:val="008750BA"/>
    <w:rsid w:val="00876804"/>
    <w:rsid w:val="00876A25"/>
    <w:rsid w:val="00876B49"/>
    <w:rsid w:val="008777F5"/>
    <w:rsid w:val="00877D07"/>
    <w:rsid w:val="00881F23"/>
    <w:rsid w:val="008821EB"/>
    <w:rsid w:val="00882303"/>
    <w:rsid w:val="00883998"/>
    <w:rsid w:val="00884187"/>
    <w:rsid w:val="00886436"/>
    <w:rsid w:val="0088705B"/>
    <w:rsid w:val="00887CF3"/>
    <w:rsid w:val="00887D9D"/>
    <w:rsid w:val="0089011F"/>
    <w:rsid w:val="00891067"/>
    <w:rsid w:val="00891B4E"/>
    <w:rsid w:val="0089299B"/>
    <w:rsid w:val="00893F94"/>
    <w:rsid w:val="00894990"/>
    <w:rsid w:val="0089602D"/>
    <w:rsid w:val="00896F27"/>
    <w:rsid w:val="0089707D"/>
    <w:rsid w:val="008A0AD4"/>
    <w:rsid w:val="008A1CB7"/>
    <w:rsid w:val="008A2F35"/>
    <w:rsid w:val="008A6233"/>
    <w:rsid w:val="008B31A1"/>
    <w:rsid w:val="008B38E6"/>
    <w:rsid w:val="008B395C"/>
    <w:rsid w:val="008B45D7"/>
    <w:rsid w:val="008B4C4B"/>
    <w:rsid w:val="008B5526"/>
    <w:rsid w:val="008B5C3C"/>
    <w:rsid w:val="008B61EA"/>
    <w:rsid w:val="008B63BE"/>
    <w:rsid w:val="008B6603"/>
    <w:rsid w:val="008B7CB9"/>
    <w:rsid w:val="008C0D46"/>
    <w:rsid w:val="008C0FAD"/>
    <w:rsid w:val="008C1F4C"/>
    <w:rsid w:val="008C1FA3"/>
    <w:rsid w:val="008C3B77"/>
    <w:rsid w:val="008C4716"/>
    <w:rsid w:val="008C5A60"/>
    <w:rsid w:val="008D4D71"/>
    <w:rsid w:val="008D61ED"/>
    <w:rsid w:val="008E3456"/>
    <w:rsid w:val="008E6E80"/>
    <w:rsid w:val="008E7074"/>
    <w:rsid w:val="008F7215"/>
    <w:rsid w:val="008F7CA6"/>
    <w:rsid w:val="00900722"/>
    <w:rsid w:val="009008D0"/>
    <w:rsid w:val="009018C7"/>
    <w:rsid w:val="00904389"/>
    <w:rsid w:val="009050E9"/>
    <w:rsid w:val="009071AC"/>
    <w:rsid w:val="00907FA9"/>
    <w:rsid w:val="00910AFE"/>
    <w:rsid w:val="00911C4E"/>
    <w:rsid w:val="0091277A"/>
    <w:rsid w:val="00915094"/>
    <w:rsid w:val="00917B63"/>
    <w:rsid w:val="00920215"/>
    <w:rsid w:val="009213C1"/>
    <w:rsid w:val="00922789"/>
    <w:rsid w:val="009229AA"/>
    <w:rsid w:val="009229EF"/>
    <w:rsid w:val="00923065"/>
    <w:rsid w:val="00923EA7"/>
    <w:rsid w:val="00924A2A"/>
    <w:rsid w:val="00924DC7"/>
    <w:rsid w:val="00924FC8"/>
    <w:rsid w:val="00925F19"/>
    <w:rsid w:val="00926B74"/>
    <w:rsid w:val="00926B9F"/>
    <w:rsid w:val="00927169"/>
    <w:rsid w:val="009279F3"/>
    <w:rsid w:val="00931641"/>
    <w:rsid w:val="00932D24"/>
    <w:rsid w:val="00933D9D"/>
    <w:rsid w:val="00934290"/>
    <w:rsid w:val="0093449C"/>
    <w:rsid w:val="0093499B"/>
    <w:rsid w:val="00934C5C"/>
    <w:rsid w:val="0093567F"/>
    <w:rsid w:val="00936B5D"/>
    <w:rsid w:val="00937523"/>
    <w:rsid w:val="009375A0"/>
    <w:rsid w:val="00940D61"/>
    <w:rsid w:val="00942328"/>
    <w:rsid w:val="00942A88"/>
    <w:rsid w:val="00945172"/>
    <w:rsid w:val="009470BB"/>
    <w:rsid w:val="00947DD3"/>
    <w:rsid w:val="00950267"/>
    <w:rsid w:val="00952C2B"/>
    <w:rsid w:val="0095312F"/>
    <w:rsid w:val="00953310"/>
    <w:rsid w:val="00954482"/>
    <w:rsid w:val="00954CC5"/>
    <w:rsid w:val="00954E42"/>
    <w:rsid w:val="00957450"/>
    <w:rsid w:val="00961290"/>
    <w:rsid w:val="00963682"/>
    <w:rsid w:val="00963B26"/>
    <w:rsid w:val="00963B53"/>
    <w:rsid w:val="00965090"/>
    <w:rsid w:val="00965317"/>
    <w:rsid w:val="009659B6"/>
    <w:rsid w:val="00965CCD"/>
    <w:rsid w:val="009664BB"/>
    <w:rsid w:val="00966510"/>
    <w:rsid w:val="00967ED2"/>
    <w:rsid w:val="009738CE"/>
    <w:rsid w:val="00974F5F"/>
    <w:rsid w:val="00975C5D"/>
    <w:rsid w:val="009766E9"/>
    <w:rsid w:val="00980CC5"/>
    <w:rsid w:val="00981088"/>
    <w:rsid w:val="0098117A"/>
    <w:rsid w:val="00981D21"/>
    <w:rsid w:val="00981FD5"/>
    <w:rsid w:val="009832D3"/>
    <w:rsid w:val="00983D67"/>
    <w:rsid w:val="00984EC2"/>
    <w:rsid w:val="00985D6C"/>
    <w:rsid w:val="00986594"/>
    <w:rsid w:val="009876BB"/>
    <w:rsid w:val="009877C4"/>
    <w:rsid w:val="00990223"/>
    <w:rsid w:val="009928AC"/>
    <w:rsid w:val="009940A2"/>
    <w:rsid w:val="00994274"/>
    <w:rsid w:val="009946B9"/>
    <w:rsid w:val="00994824"/>
    <w:rsid w:val="009A306E"/>
    <w:rsid w:val="009A464F"/>
    <w:rsid w:val="009A69F7"/>
    <w:rsid w:val="009B24CC"/>
    <w:rsid w:val="009B3971"/>
    <w:rsid w:val="009B3D32"/>
    <w:rsid w:val="009B3E25"/>
    <w:rsid w:val="009B42E4"/>
    <w:rsid w:val="009B4312"/>
    <w:rsid w:val="009B6957"/>
    <w:rsid w:val="009B7937"/>
    <w:rsid w:val="009C06DA"/>
    <w:rsid w:val="009C464D"/>
    <w:rsid w:val="009C754E"/>
    <w:rsid w:val="009D0611"/>
    <w:rsid w:val="009D148D"/>
    <w:rsid w:val="009D26D2"/>
    <w:rsid w:val="009D3D90"/>
    <w:rsid w:val="009D67EA"/>
    <w:rsid w:val="009E0086"/>
    <w:rsid w:val="009E1890"/>
    <w:rsid w:val="009E47F3"/>
    <w:rsid w:val="009E49D8"/>
    <w:rsid w:val="009E50D7"/>
    <w:rsid w:val="009E7072"/>
    <w:rsid w:val="009F1246"/>
    <w:rsid w:val="009F1B64"/>
    <w:rsid w:val="009F30A9"/>
    <w:rsid w:val="009F31E2"/>
    <w:rsid w:val="009F3B8F"/>
    <w:rsid w:val="009F4519"/>
    <w:rsid w:val="009F47D0"/>
    <w:rsid w:val="009F79A7"/>
    <w:rsid w:val="00A00DEA"/>
    <w:rsid w:val="00A023F6"/>
    <w:rsid w:val="00A034B5"/>
    <w:rsid w:val="00A06C22"/>
    <w:rsid w:val="00A0752E"/>
    <w:rsid w:val="00A1266A"/>
    <w:rsid w:val="00A145AC"/>
    <w:rsid w:val="00A15BB8"/>
    <w:rsid w:val="00A15BEA"/>
    <w:rsid w:val="00A16BEE"/>
    <w:rsid w:val="00A16C86"/>
    <w:rsid w:val="00A17350"/>
    <w:rsid w:val="00A202A1"/>
    <w:rsid w:val="00A205D8"/>
    <w:rsid w:val="00A21941"/>
    <w:rsid w:val="00A21FFF"/>
    <w:rsid w:val="00A2278F"/>
    <w:rsid w:val="00A23130"/>
    <w:rsid w:val="00A23800"/>
    <w:rsid w:val="00A2384C"/>
    <w:rsid w:val="00A2605B"/>
    <w:rsid w:val="00A268B6"/>
    <w:rsid w:val="00A271C2"/>
    <w:rsid w:val="00A27F0A"/>
    <w:rsid w:val="00A30E89"/>
    <w:rsid w:val="00A33C86"/>
    <w:rsid w:val="00A348EA"/>
    <w:rsid w:val="00A372FF"/>
    <w:rsid w:val="00A379B8"/>
    <w:rsid w:val="00A40221"/>
    <w:rsid w:val="00A41308"/>
    <w:rsid w:val="00A421F0"/>
    <w:rsid w:val="00A45D00"/>
    <w:rsid w:val="00A46000"/>
    <w:rsid w:val="00A46BA6"/>
    <w:rsid w:val="00A4736F"/>
    <w:rsid w:val="00A500FB"/>
    <w:rsid w:val="00A5171B"/>
    <w:rsid w:val="00A51E5E"/>
    <w:rsid w:val="00A571E3"/>
    <w:rsid w:val="00A57B95"/>
    <w:rsid w:val="00A60D60"/>
    <w:rsid w:val="00A62D96"/>
    <w:rsid w:val="00A6356A"/>
    <w:rsid w:val="00A63D2E"/>
    <w:rsid w:val="00A67D63"/>
    <w:rsid w:val="00A70271"/>
    <w:rsid w:val="00A7027D"/>
    <w:rsid w:val="00A71AD9"/>
    <w:rsid w:val="00A7512C"/>
    <w:rsid w:val="00A75BC2"/>
    <w:rsid w:val="00A7673D"/>
    <w:rsid w:val="00A77D1C"/>
    <w:rsid w:val="00A8065A"/>
    <w:rsid w:val="00A806C2"/>
    <w:rsid w:val="00A8160F"/>
    <w:rsid w:val="00A840C2"/>
    <w:rsid w:val="00A8490D"/>
    <w:rsid w:val="00A962E1"/>
    <w:rsid w:val="00A9650B"/>
    <w:rsid w:val="00AA0DC7"/>
    <w:rsid w:val="00AA2417"/>
    <w:rsid w:val="00AA3090"/>
    <w:rsid w:val="00AA3474"/>
    <w:rsid w:val="00AA417A"/>
    <w:rsid w:val="00AB0710"/>
    <w:rsid w:val="00AB1518"/>
    <w:rsid w:val="00AB2E2C"/>
    <w:rsid w:val="00AB404B"/>
    <w:rsid w:val="00AB5594"/>
    <w:rsid w:val="00AB671D"/>
    <w:rsid w:val="00AB70D2"/>
    <w:rsid w:val="00AC13BA"/>
    <w:rsid w:val="00AC15AE"/>
    <w:rsid w:val="00AC6F89"/>
    <w:rsid w:val="00AD0371"/>
    <w:rsid w:val="00AD1AA9"/>
    <w:rsid w:val="00AD2C9E"/>
    <w:rsid w:val="00AD484F"/>
    <w:rsid w:val="00AD5546"/>
    <w:rsid w:val="00AD5C29"/>
    <w:rsid w:val="00AD6019"/>
    <w:rsid w:val="00AD7946"/>
    <w:rsid w:val="00AE1278"/>
    <w:rsid w:val="00AE2125"/>
    <w:rsid w:val="00AE3DF9"/>
    <w:rsid w:val="00AE463E"/>
    <w:rsid w:val="00AE5D42"/>
    <w:rsid w:val="00AE64CF"/>
    <w:rsid w:val="00AE6938"/>
    <w:rsid w:val="00AE693E"/>
    <w:rsid w:val="00AE6A55"/>
    <w:rsid w:val="00AF1C60"/>
    <w:rsid w:val="00AF1D05"/>
    <w:rsid w:val="00AF305C"/>
    <w:rsid w:val="00AF3B94"/>
    <w:rsid w:val="00AF4B88"/>
    <w:rsid w:val="00AF4BDE"/>
    <w:rsid w:val="00AF62A9"/>
    <w:rsid w:val="00AF6784"/>
    <w:rsid w:val="00AF7DC6"/>
    <w:rsid w:val="00B010EE"/>
    <w:rsid w:val="00B0391B"/>
    <w:rsid w:val="00B04AC5"/>
    <w:rsid w:val="00B05417"/>
    <w:rsid w:val="00B05D61"/>
    <w:rsid w:val="00B11A82"/>
    <w:rsid w:val="00B12605"/>
    <w:rsid w:val="00B160CF"/>
    <w:rsid w:val="00B16460"/>
    <w:rsid w:val="00B176FA"/>
    <w:rsid w:val="00B17DD7"/>
    <w:rsid w:val="00B20D46"/>
    <w:rsid w:val="00B231D2"/>
    <w:rsid w:val="00B233E5"/>
    <w:rsid w:val="00B234F6"/>
    <w:rsid w:val="00B23577"/>
    <w:rsid w:val="00B236CB"/>
    <w:rsid w:val="00B23E45"/>
    <w:rsid w:val="00B26C0F"/>
    <w:rsid w:val="00B27D5C"/>
    <w:rsid w:val="00B307C7"/>
    <w:rsid w:val="00B30CCD"/>
    <w:rsid w:val="00B30D06"/>
    <w:rsid w:val="00B31A06"/>
    <w:rsid w:val="00B3580D"/>
    <w:rsid w:val="00B35B02"/>
    <w:rsid w:val="00B35CF7"/>
    <w:rsid w:val="00B35DEC"/>
    <w:rsid w:val="00B371F4"/>
    <w:rsid w:val="00B378DD"/>
    <w:rsid w:val="00B37C2B"/>
    <w:rsid w:val="00B41665"/>
    <w:rsid w:val="00B416C0"/>
    <w:rsid w:val="00B418CE"/>
    <w:rsid w:val="00B429CD"/>
    <w:rsid w:val="00B46CE0"/>
    <w:rsid w:val="00B50068"/>
    <w:rsid w:val="00B50B90"/>
    <w:rsid w:val="00B50C2B"/>
    <w:rsid w:val="00B532A5"/>
    <w:rsid w:val="00B5352D"/>
    <w:rsid w:val="00B566B9"/>
    <w:rsid w:val="00B6196A"/>
    <w:rsid w:val="00B634C4"/>
    <w:rsid w:val="00B677C2"/>
    <w:rsid w:val="00B67E70"/>
    <w:rsid w:val="00B67F48"/>
    <w:rsid w:val="00B7055A"/>
    <w:rsid w:val="00B70CA4"/>
    <w:rsid w:val="00B71054"/>
    <w:rsid w:val="00B72715"/>
    <w:rsid w:val="00B80CA5"/>
    <w:rsid w:val="00B811B3"/>
    <w:rsid w:val="00B85C44"/>
    <w:rsid w:val="00B85C9D"/>
    <w:rsid w:val="00B86A14"/>
    <w:rsid w:val="00B87A0F"/>
    <w:rsid w:val="00B87A9B"/>
    <w:rsid w:val="00B90240"/>
    <w:rsid w:val="00B909AF"/>
    <w:rsid w:val="00B90F76"/>
    <w:rsid w:val="00B92931"/>
    <w:rsid w:val="00B944CD"/>
    <w:rsid w:val="00B9602A"/>
    <w:rsid w:val="00B96284"/>
    <w:rsid w:val="00B97D9F"/>
    <w:rsid w:val="00BA18C2"/>
    <w:rsid w:val="00BA3329"/>
    <w:rsid w:val="00BA39DA"/>
    <w:rsid w:val="00BA41AC"/>
    <w:rsid w:val="00BB0594"/>
    <w:rsid w:val="00BB0D37"/>
    <w:rsid w:val="00BB537D"/>
    <w:rsid w:val="00BC07CE"/>
    <w:rsid w:val="00BC24EF"/>
    <w:rsid w:val="00BC4F6C"/>
    <w:rsid w:val="00BC5F0B"/>
    <w:rsid w:val="00BC7701"/>
    <w:rsid w:val="00BC7CE4"/>
    <w:rsid w:val="00BD08BD"/>
    <w:rsid w:val="00BD11DB"/>
    <w:rsid w:val="00BD1932"/>
    <w:rsid w:val="00BD417A"/>
    <w:rsid w:val="00BD7B37"/>
    <w:rsid w:val="00BD7F98"/>
    <w:rsid w:val="00BE2D00"/>
    <w:rsid w:val="00BE3F0C"/>
    <w:rsid w:val="00BE43F2"/>
    <w:rsid w:val="00BE4890"/>
    <w:rsid w:val="00BE597E"/>
    <w:rsid w:val="00BE778B"/>
    <w:rsid w:val="00BF10C1"/>
    <w:rsid w:val="00BF1BAB"/>
    <w:rsid w:val="00BF2142"/>
    <w:rsid w:val="00BF2800"/>
    <w:rsid w:val="00BF4176"/>
    <w:rsid w:val="00C013DB"/>
    <w:rsid w:val="00C01482"/>
    <w:rsid w:val="00C100A7"/>
    <w:rsid w:val="00C10838"/>
    <w:rsid w:val="00C10938"/>
    <w:rsid w:val="00C12660"/>
    <w:rsid w:val="00C146A7"/>
    <w:rsid w:val="00C15322"/>
    <w:rsid w:val="00C15469"/>
    <w:rsid w:val="00C226DF"/>
    <w:rsid w:val="00C23E70"/>
    <w:rsid w:val="00C23F70"/>
    <w:rsid w:val="00C244B7"/>
    <w:rsid w:val="00C2781C"/>
    <w:rsid w:val="00C34DA4"/>
    <w:rsid w:val="00C36BC8"/>
    <w:rsid w:val="00C3772C"/>
    <w:rsid w:val="00C40825"/>
    <w:rsid w:val="00C41268"/>
    <w:rsid w:val="00C43AD7"/>
    <w:rsid w:val="00C4445B"/>
    <w:rsid w:val="00C449DB"/>
    <w:rsid w:val="00C45A7E"/>
    <w:rsid w:val="00C45BC2"/>
    <w:rsid w:val="00C468D8"/>
    <w:rsid w:val="00C51BDC"/>
    <w:rsid w:val="00C5459A"/>
    <w:rsid w:val="00C55690"/>
    <w:rsid w:val="00C57D5A"/>
    <w:rsid w:val="00C63783"/>
    <w:rsid w:val="00C64E68"/>
    <w:rsid w:val="00C651B9"/>
    <w:rsid w:val="00C6684C"/>
    <w:rsid w:val="00C66E26"/>
    <w:rsid w:val="00C671FA"/>
    <w:rsid w:val="00C7069E"/>
    <w:rsid w:val="00C70B9E"/>
    <w:rsid w:val="00C71DB0"/>
    <w:rsid w:val="00C72986"/>
    <w:rsid w:val="00C72F24"/>
    <w:rsid w:val="00C73714"/>
    <w:rsid w:val="00C74A24"/>
    <w:rsid w:val="00C770EE"/>
    <w:rsid w:val="00C779F9"/>
    <w:rsid w:val="00C77EE4"/>
    <w:rsid w:val="00C81331"/>
    <w:rsid w:val="00C83DCD"/>
    <w:rsid w:val="00C90E89"/>
    <w:rsid w:val="00C92054"/>
    <w:rsid w:val="00C92D38"/>
    <w:rsid w:val="00C93B83"/>
    <w:rsid w:val="00C94343"/>
    <w:rsid w:val="00CA03B2"/>
    <w:rsid w:val="00CA1BA6"/>
    <w:rsid w:val="00CA20B3"/>
    <w:rsid w:val="00CA52D9"/>
    <w:rsid w:val="00CA79DC"/>
    <w:rsid w:val="00CB0876"/>
    <w:rsid w:val="00CB0C9A"/>
    <w:rsid w:val="00CB17F7"/>
    <w:rsid w:val="00CB7337"/>
    <w:rsid w:val="00CC0B89"/>
    <w:rsid w:val="00CC0E40"/>
    <w:rsid w:val="00CC23FB"/>
    <w:rsid w:val="00CC43F5"/>
    <w:rsid w:val="00CC6263"/>
    <w:rsid w:val="00CD0CF6"/>
    <w:rsid w:val="00CD10B9"/>
    <w:rsid w:val="00CD2223"/>
    <w:rsid w:val="00CD2B75"/>
    <w:rsid w:val="00CD5A71"/>
    <w:rsid w:val="00CD6BA4"/>
    <w:rsid w:val="00CD7543"/>
    <w:rsid w:val="00CE401F"/>
    <w:rsid w:val="00CE4120"/>
    <w:rsid w:val="00CE4B1B"/>
    <w:rsid w:val="00CE5D35"/>
    <w:rsid w:val="00CE6A25"/>
    <w:rsid w:val="00CE7C85"/>
    <w:rsid w:val="00CF1A2F"/>
    <w:rsid w:val="00CF1D52"/>
    <w:rsid w:val="00CF3385"/>
    <w:rsid w:val="00CF4CFE"/>
    <w:rsid w:val="00CF7904"/>
    <w:rsid w:val="00D01CCD"/>
    <w:rsid w:val="00D0319B"/>
    <w:rsid w:val="00D05117"/>
    <w:rsid w:val="00D115ED"/>
    <w:rsid w:val="00D14E71"/>
    <w:rsid w:val="00D15111"/>
    <w:rsid w:val="00D169BE"/>
    <w:rsid w:val="00D21097"/>
    <w:rsid w:val="00D2190C"/>
    <w:rsid w:val="00D22128"/>
    <w:rsid w:val="00D22E3C"/>
    <w:rsid w:val="00D25A55"/>
    <w:rsid w:val="00D25E1C"/>
    <w:rsid w:val="00D27538"/>
    <w:rsid w:val="00D313AC"/>
    <w:rsid w:val="00D3535B"/>
    <w:rsid w:val="00D40F12"/>
    <w:rsid w:val="00D42BEB"/>
    <w:rsid w:val="00D43611"/>
    <w:rsid w:val="00D44CB4"/>
    <w:rsid w:val="00D455BA"/>
    <w:rsid w:val="00D461F9"/>
    <w:rsid w:val="00D46792"/>
    <w:rsid w:val="00D47029"/>
    <w:rsid w:val="00D4730F"/>
    <w:rsid w:val="00D476B5"/>
    <w:rsid w:val="00D54698"/>
    <w:rsid w:val="00D5664C"/>
    <w:rsid w:val="00D56D73"/>
    <w:rsid w:val="00D57135"/>
    <w:rsid w:val="00D602FE"/>
    <w:rsid w:val="00D63B94"/>
    <w:rsid w:val="00D63E86"/>
    <w:rsid w:val="00D63F20"/>
    <w:rsid w:val="00D6545A"/>
    <w:rsid w:val="00D65E62"/>
    <w:rsid w:val="00D73A6A"/>
    <w:rsid w:val="00D73FD9"/>
    <w:rsid w:val="00D74292"/>
    <w:rsid w:val="00D744D7"/>
    <w:rsid w:val="00D7656C"/>
    <w:rsid w:val="00D76E4A"/>
    <w:rsid w:val="00D77134"/>
    <w:rsid w:val="00D813C6"/>
    <w:rsid w:val="00D8141F"/>
    <w:rsid w:val="00D81D2E"/>
    <w:rsid w:val="00D82B14"/>
    <w:rsid w:val="00D83E72"/>
    <w:rsid w:val="00D847A9"/>
    <w:rsid w:val="00D84B02"/>
    <w:rsid w:val="00D86CFF"/>
    <w:rsid w:val="00D90C88"/>
    <w:rsid w:val="00D90F15"/>
    <w:rsid w:val="00D9582C"/>
    <w:rsid w:val="00D95B32"/>
    <w:rsid w:val="00D961A1"/>
    <w:rsid w:val="00D96753"/>
    <w:rsid w:val="00DA301F"/>
    <w:rsid w:val="00DA3FBF"/>
    <w:rsid w:val="00DA7E25"/>
    <w:rsid w:val="00DB0C77"/>
    <w:rsid w:val="00DB1076"/>
    <w:rsid w:val="00DB1CCC"/>
    <w:rsid w:val="00DB58E0"/>
    <w:rsid w:val="00DB7DA0"/>
    <w:rsid w:val="00DC0007"/>
    <w:rsid w:val="00DC0096"/>
    <w:rsid w:val="00DC024E"/>
    <w:rsid w:val="00DC2CAC"/>
    <w:rsid w:val="00DC3144"/>
    <w:rsid w:val="00DC3C44"/>
    <w:rsid w:val="00DC3EFA"/>
    <w:rsid w:val="00DC64A1"/>
    <w:rsid w:val="00DC6F62"/>
    <w:rsid w:val="00DC75A7"/>
    <w:rsid w:val="00DD2668"/>
    <w:rsid w:val="00DD33CA"/>
    <w:rsid w:val="00DD3B47"/>
    <w:rsid w:val="00DD70BE"/>
    <w:rsid w:val="00DE473B"/>
    <w:rsid w:val="00DE6DC5"/>
    <w:rsid w:val="00DE72DD"/>
    <w:rsid w:val="00DE738F"/>
    <w:rsid w:val="00DE7F82"/>
    <w:rsid w:val="00DF0159"/>
    <w:rsid w:val="00DF1781"/>
    <w:rsid w:val="00DF233E"/>
    <w:rsid w:val="00DF3AB5"/>
    <w:rsid w:val="00DF4C95"/>
    <w:rsid w:val="00DF6AEA"/>
    <w:rsid w:val="00E01524"/>
    <w:rsid w:val="00E02F1E"/>
    <w:rsid w:val="00E06417"/>
    <w:rsid w:val="00E06783"/>
    <w:rsid w:val="00E07D5C"/>
    <w:rsid w:val="00E07E7C"/>
    <w:rsid w:val="00E1162E"/>
    <w:rsid w:val="00E12A5D"/>
    <w:rsid w:val="00E14AB1"/>
    <w:rsid w:val="00E16951"/>
    <w:rsid w:val="00E209DF"/>
    <w:rsid w:val="00E23432"/>
    <w:rsid w:val="00E241F5"/>
    <w:rsid w:val="00E26C16"/>
    <w:rsid w:val="00E26FA0"/>
    <w:rsid w:val="00E3174C"/>
    <w:rsid w:val="00E3259E"/>
    <w:rsid w:val="00E32B81"/>
    <w:rsid w:val="00E33B51"/>
    <w:rsid w:val="00E3539E"/>
    <w:rsid w:val="00E371BF"/>
    <w:rsid w:val="00E42DEB"/>
    <w:rsid w:val="00E46E4A"/>
    <w:rsid w:val="00E52363"/>
    <w:rsid w:val="00E5253E"/>
    <w:rsid w:val="00E52C38"/>
    <w:rsid w:val="00E54543"/>
    <w:rsid w:val="00E562CB"/>
    <w:rsid w:val="00E56B88"/>
    <w:rsid w:val="00E639DD"/>
    <w:rsid w:val="00E65186"/>
    <w:rsid w:val="00E70653"/>
    <w:rsid w:val="00E710A5"/>
    <w:rsid w:val="00E725C0"/>
    <w:rsid w:val="00E73BA5"/>
    <w:rsid w:val="00E73D6B"/>
    <w:rsid w:val="00E8163E"/>
    <w:rsid w:val="00E84DDF"/>
    <w:rsid w:val="00E87241"/>
    <w:rsid w:val="00E9099C"/>
    <w:rsid w:val="00E90BB1"/>
    <w:rsid w:val="00E920EE"/>
    <w:rsid w:val="00E92BA1"/>
    <w:rsid w:val="00E942C2"/>
    <w:rsid w:val="00E95B0C"/>
    <w:rsid w:val="00E95D69"/>
    <w:rsid w:val="00E976F8"/>
    <w:rsid w:val="00EA02FC"/>
    <w:rsid w:val="00EA0F83"/>
    <w:rsid w:val="00EA1302"/>
    <w:rsid w:val="00EA2AA9"/>
    <w:rsid w:val="00EA3AD8"/>
    <w:rsid w:val="00EA442C"/>
    <w:rsid w:val="00EA6A5A"/>
    <w:rsid w:val="00EA7129"/>
    <w:rsid w:val="00EB7927"/>
    <w:rsid w:val="00EB7BFF"/>
    <w:rsid w:val="00EC3D9C"/>
    <w:rsid w:val="00EC42C3"/>
    <w:rsid w:val="00EC5754"/>
    <w:rsid w:val="00EC74F4"/>
    <w:rsid w:val="00ED05AC"/>
    <w:rsid w:val="00ED165C"/>
    <w:rsid w:val="00ED3749"/>
    <w:rsid w:val="00EE1067"/>
    <w:rsid w:val="00EE13E6"/>
    <w:rsid w:val="00EE420C"/>
    <w:rsid w:val="00EE46A9"/>
    <w:rsid w:val="00EE4C4D"/>
    <w:rsid w:val="00EE79F8"/>
    <w:rsid w:val="00EF2B53"/>
    <w:rsid w:val="00EF2B6C"/>
    <w:rsid w:val="00EF2DBD"/>
    <w:rsid w:val="00EF3A52"/>
    <w:rsid w:val="00EF46AA"/>
    <w:rsid w:val="00EF482D"/>
    <w:rsid w:val="00EF5F6D"/>
    <w:rsid w:val="00EF6640"/>
    <w:rsid w:val="00EF7BD4"/>
    <w:rsid w:val="00F01E09"/>
    <w:rsid w:val="00F035E1"/>
    <w:rsid w:val="00F049EB"/>
    <w:rsid w:val="00F055D9"/>
    <w:rsid w:val="00F05D90"/>
    <w:rsid w:val="00F103D8"/>
    <w:rsid w:val="00F1312D"/>
    <w:rsid w:val="00F13CCB"/>
    <w:rsid w:val="00F14449"/>
    <w:rsid w:val="00F179C4"/>
    <w:rsid w:val="00F214D4"/>
    <w:rsid w:val="00F2276E"/>
    <w:rsid w:val="00F25524"/>
    <w:rsid w:val="00F25B4B"/>
    <w:rsid w:val="00F25D06"/>
    <w:rsid w:val="00F26663"/>
    <w:rsid w:val="00F26683"/>
    <w:rsid w:val="00F345B3"/>
    <w:rsid w:val="00F40BAC"/>
    <w:rsid w:val="00F40C87"/>
    <w:rsid w:val="00F4158A"/>
    <w:rsid w:val="00F41E97"/>
    <w:rsid w:val="00F464FC"/>
    <w:rsid w:val="00F475C4"/>
    <w:rsid w:val="00F47DD4"/>
    <w:rsid w:val="00F50FDC"/>
    <w:rsid w:val="00F519D9"/>
    <w:rsid w:val="00F54268"/>
    <w:rsid w:val="00F5533E"/>
    <w:rsid w:val="00F55C7A"/>
    <w:rsid w:val="00F56BD0"/>
    <w:rsid w:val="00F62AB7"/>
    <w:rsid w:val="00F62E2C"/>
    <w:rsid w:val="00F6397E"/>
    <w:rsid w:val="00F64D69"/>
    <w:rsid w:val="00F67B82"/>
    <w:rsid w:val="00F71DA2"/>
    <w:rsid w:val="00F71DB9"/>
    <w:rsid w:val="00F7263D"/>
    <w:rsid w:val="00F73F54"/>
    <w:rsid w:val="00F75023"/>
    <w:rsid w:val="00F75176"/>
    <w:rsid w:val="00F76D33"/>
    <w:rsid w:val="00F77E35"/>
    <w:rsid w:val="00F77F11"/>
    <w:rsid w:val="00F81E8C"/>
    <w:rsid w:val="00F81F82"/>
    <w:rsid w:val="00F821F5"/>
    <w:rsid w:val="00F832F7"/>
    <w:rsid w:val="00F83676"/>
    <w:rsid w:val="00F840CD"/>
    <w:rsid w:val="00F84E08"/>
    <w:rsid w:val="00F86643"/>
    <w:rsid w:val="00F87BF1"/>
    <w:rsid w:val="00F90508"/>
    <w:rsid w:val="00F90649"/>
    <w:rsid w:val="00F91CEE"/>
    <w:rsid w:val="00F933D3"/>
    <w:rsid w:val="00F94557"/>
    <w:rsid w:val="00F94680"/>
    <w:rsid w:val="00F96FD7"/>
    <w:rsid w:val="00FA0201"/>
    <w:rsid w:val="00FA16CA"/>
    <w:rsid w:val="00FA4937"/>
    <w:rsid w:val="00FA515D"/>
    <w:rsid w:val="00FA51E5"/>
    <w:rsid w:val="00FA5C66"/>
    <w:rsid w:val="00FA7219"/>
    <w:rsid w:val="00FB4DA3"/>
    <w:rsid w:val="00FC0739"/>
    <w:rsid w:val="00FC16C5"/>
    <w:rsid w:val="00FC30E1"/>
    <w:rsid w:val="00FC38D5"/>
    <w:rsid w:val="00FD2BAF"/>
    <w:rsid w:val="00FD442B"/>
    <w:rsid w:val="00FD4519"/>
    <w:rsid w:val="00FD5B07"/>
    <w:rsid w:val="00FD620A"/>
    <w:rsid w:val="00FD69B4"/>
    <w:rsid w:val="00FE17D6"/>
    <w:rsid w:val="00FE5CD6"/>
    <w:rsid w:val="00FE67F3"/>
    <w:rsid w:val="00FF0598"/>
    <w:rsid w:val="00FF3274"/>
    <w:rsid w:val="00FF3E64"/>
    <w:rsid w:val="00FF68F6"/>
    <w:rsid w:val="00FF6970"/>
    <w:rsid w:val="00FF795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8722"/>
    <o:shapelayout v:ext="edit">
      <o:idmap v:ext="edit" data="1"/>
      <o:rules v:ext="edit">
        <o:r id="V:Rule12" type="connector" idref="#_x0000_s1099"/>
        <o:r id="V:Rule13" type="connector" idref="#_x0000_s1036"/>
        <o:r id="V:Rule14" type="connector" idref="#_x0000_s1035"/>
        <o:r id="V:Rule15" type="connector" idref="#_x0000_s1042"/>
        <o:r id="V:Rule16" type="connector" idref="#_x0000_s1097"/>
        <o:r id="V:Rule17" type="connector" idref="#_x0000_s1043"/>
        <o:r id="V:Rule18" type="connector" idref="#_x0000_s1037"/>
        <o:r id="V:Rule19" type="connector" idref="#_x0000_s1101"/>
        <o:r id="V:Rule20" type="connector" idref="#_x0000_s1041"/>
        <o:r id="V:Rule21" type="connector" idref="#_x0000_s1040"/>
        <o:r id="V:Rule22" type="connector" idref="#_x0000_s11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482"/>
  </w:style>
  <w:style w:type="paragraph" w:styleId="Titre1">
    <w:name w:val="heading 1"/>
    <w:basedOn w:val="Normal"/>
    <w:next w:val="Normal"/>
    <w:link w:val="Titre1Car"/>
    <w:uiPriority w:val="9"/>
    <w:qFormat/>
    <w:rsid w:val="003834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82131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4022"/>
    <w:pPr>
      <w:tabs>
        <w:tab w:val="center" w:pos="4536"/>
        <w:tab w:val="right" w:pos="9072"/>
      </w:tabs>
      <w:spacing w:after="0" w:line="240" w:lineRule="auto"/>
    </w:pPr>
  </w:style>
  <w:style w:type="character" w:customStyle="1" w:styleId="En-tteCar">
    <w:name w:val="En-tête Car"/>
    <w:basedOn w:val="Policepardfaut"/>
    <w:link w:val="En-tte"/>
    <w:uiPriority w:val="99"/>
    <w:rsid w:val="00744022"/>
  </w:style>
  <w:style w:type="paragraph" w:styleId="Pieddepage">
    <w:name w:val="footer"/>
    <w:basedOn w:val="Normal"/>
    <w:link w:val="PieddepageCar"/>
    <w:uiPriority w:val="99"/>
    <w:unhideWhenUsed/>
    <w:rsid w:val="007440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4022"/>
  </w:style>
  <w:style w:type="paragraph" w:styleId="Notedebasdepage">
    <w:name w:val="footnote text"/>
    <w:basedOn w:val="Normal"/>
    <w:link w:val="NotedebasdepageCar"/>
    <w:uiPriority w:val="99"/>
    <w:unhideWhenUsed/>
    <w:rsid w:val="00EF7BD4"/>
    <w:pPr>
      <w:spacing w:after="0" w:line="240" w:lineRule="auto"/>
    </w:pPr>
    <w:rPr>
      <w:sz w:val="20"/>
      <w:szCs w:val="20"/>
    </w:rPr>
  </w:style>
  <w:style w:type="character" w:customStyle="1" w:styleId="NotedebasdepageCar">
    <w:name w:val="Note de bas de page Car"/>
    <w:basedOn w:val="Policepardfaut"/>
    <w:link w:val="Notedebasdepage"/>
    <w:uiPriority w:val="99"/>
    <w:rsid w:val="00EF7BD4"/>
    <w:rPr>
      <w:sz w:val="20"/>
      <w:szCs w:val="20"/>
    </w:rPr>
  </w:style>
  <w:style w:type="character" w:styleId="Appelnotedebasdep">
    <w:name w:val="footnote reference"/>
    <w:basedOn w:val="Policepardfaut"/>
    <w:uiPriority w:val="99"/>
    <w:semiHidden/>
    <w:unhideWhenUsed/>
    <w:rsid w:val="00EF7BD4"/>
    <w:rPr>
      <w:vertAlign w:val="superscript"/>
    </w:rPr>
  </w:style>
  <w:style w:type="character" w:customStyle="1" w:styleId="Titre2Car">
    <w:name w:val="Titre 2 Car"/>
    <w:basedOn w:val="Policepardfaut"/>
    <w:link w:val="Titre2"/>
    <w:uiPriority w:val="9"/>
    <w:rsid w:val="0082131A"/>
    <w:rPr>
      <w:rFonts w:asciiTheme="majorHAnsi" w:eastAsiaTheme="majorEastAsia" w:hAnsiTheme="majorHAnsi" w:cstheme="majorBidi"/>
      <w:b/>
      <w:bCs/>
      <w:color w:val="4F81BD" w:themeColor="accent1"/>
      <w:sz w:val="26"/>
      <w:szCs w:val="26"/>
    </w:rPr>
  </w:style>
  <w:style w:type="paragraph" w:styleId="Textedebulles">
    <w:name w:val="Balloon Text"/>
    <w:basedOn w:val="Normal"/>
    <w:link w:val="TextedebullesCar"/>
    <w:uiPriority w:val="99"/>
    <w:semiHidden/>
    <w:unhideWhenUsed/>
    <w:rsid w:val="008213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2131A"/>
    <w:rPr>
      <w:rFonts w:ascii="Tahoma" w:hAnsi="Tahoma" w:cs="Tahoma"/>
      <w:sz w:val="16"/>
      <w:szCs w:val="16"/>
    </w:rPr>
  </w:style>
  <w:style w:type="table" w:styleId="Grilledutableau">
    <w:name w:val="Table Grid"/>
    <w:basedOn w:val="TableauNormal"/>
    <w:uiPriority w:val="59"/>
    <w:rsid w:val="008213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82131A"/>
    <w:pPr>
      <w:ind w:left="720"/>
      <w:contextualSpacing/>
    </w:pPr>
  </w:style>
  <w:style w:type="character" w:customStyle="1" w:styleId="CharacterStyle1">
    <w:name w:val="Character Style 1"/>
    <w:uiPriority w:val="99"/>
    <w:rsid w:val="00B35CF7"/>
    <w:rPr>
      <w:sz w:val="19"/>
      <w:szCs w:val="19"/>
    </w:rPr>
  </w:style>
  <w:style w:type="character" w:customStyle="1" w:styleId="CharacterStyle2">
    <w:name w:val="Character Style 2"/>
    <w:uiPriority w:val="99"/>
    <w:rsid w:val="00B35CF7"/>
    <w:rPr>
      <w:sz w:val="20"/>
      <w:szCs w:val="20"/>
    </w:rPr>
  </w:style>
  <w:style w:type="paragraph" w:customStyle="1" w:styleId="Style1">
    <w:name w:val="Style 1"/>
    <w:basedOn w:val="Normal"/>
    <w:uiPriority w:val="99"/>
    <w:rsid w:val="00B35CF7"/>
    <w:pPr>
      <w:widowControl w:val="0"/>
      <w:autoSpaceDE w:val="0"/>
      <w:autoSpaceDN w:val="0"/>
      <w:spacing w:after="0" w:line="240" w:lineRule="auto"/>
      <w:jc w:val="both"/>
    </w:pPr>
    <w:rPr>
      <w:rFonts w:ascii="Bookman Old Style" w:eastAsia="Times New Roman" w:hAnsi="Bookman Old Style" w:cs="Bookman Old Style"/>
      <w:sz w:val="18"/>
      <w:szCs w:val="18"/>
    </w:rPr>
  </w:style>
  <w:style w:type="character" w:styleId="Lienhypertexte">
    <w:name w:val="Hyperlink"/>
    <w:basedOn w:val="Policepardfaut"/>
    <w:uiPriority w:val="99"/>
    <w:unhideWhenUsed/>
    <w:rsid w:val="00B35CF7"/>
    <w:rPr>
      <w:color w:val="0000FF" w:themeColor="hyperlink"/>
      <w:u w:val="single"/>
    </w:rPr>
  </w:style>
  <w:style w:type="character" w:customStyle="1" w:styleId="Titre1Car">
    <w:name w:val="Titre 1 Car"/>
    <w:basedOn w:val="Policepardfaut"/>
    <w:link w:val="Titre1"/>
    <w:uiPriority w:val="9"/>
    <w:rsid w:val="0038346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532767234">
      <w:bodyDiv w:val="1"/>
      <w:marLeft w:val="0"/>
      <w:marRight w:val="0"/>
      <w:marTop w:val="0"/>
      <w:marBottom w:val="0"/>
      <w:divBdr>
        <w:top w:val="none" w:sz="0" w:space="0" w:color="auto"/>
        <w:left w:val="none" w:sz="0" w:space="0" w:color="auto"/>
        <w:bottom w:val="none" w:sz="0" w:space="0" w:color="auto"/>
        <w:right w:val="none" w:sz="0" w:space="0" w:color="auto"/>
      </w:divBdr>
    </w:div>
    <w:div w:id="20218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6.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algex.d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header" Target="header3.xml"/><Relationship Id="rId27"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www.algerie-focus.com/2009/01/09/point-de-vue-la-problematique-de-la-devaluation-du-dinar-algeri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2A4EE-54A2-4755-A8F0-290CD42A8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3654</TotalTime>
  <Pages>67</Pages>
  <Words>16930</Words>
  <Characters>93116</Characters>
  <Application>Microsoft Office Word</Application>
  <DocSecurity>0</DocSecurity>
  <Lines>775</Lines>
  <Paragraphs>219</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109827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bouabdellah ouddane</dc:creator>
  <cp:keywords/>
  <dc:description/>
  <cp:lastModifiedBy>bouabdellah ouddane</cp:lastModifiedBy>
  <cp:revision>2111</cp:revision>
  <cp:lastPrinted>2010-03-08T21:45:00Z</cp:lastPrinted>
  <dcterms:created xsi:type="dcterms:W3CDTF">2010-02-06T13:50:00Z</dcterms:created>
  <dcterms:modified xsi:type="dcterms:W3CDTF">2010-05-15T07:22:00Z</dcterms:modified>
</cp:coreProperties>
</file>